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743B2A11"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1D46193"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98369B">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00C0682C" w:rsidRPr="00C0682C">
              <w:rPr>
                <w:rStyle w:val="Collegamentoipertestuale"/>
                <w:rFonts w:ascii="Times New Roman" w:hAnsi="Times New Roman" w:cs="Times New Roman"/>
                <w:noProof/>
                <w:sz w:val="26"/>
                <w:szCs w:val="26"/>
              </w:rPr>
              <w:t>LOSS DISTRIBUTION APPROACH</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_Toc512422407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7</w:t>
            </w:r>
            <w:r w:rsidR="00C0682C" w:rsidRPr="00C0682C">
              <w:rPr>
                <w:rFonts w:ascii="Times New Roman" w:hAnsi="Times New Roman" w:cs="Times New Roman"/>
                <w:noProof/>
                <w:webHidden/>
                <w:sz w:val="26"/>
                <w:szCs w:val="26"/>
              </w:rPr>
              <w:fldChar w:fldCharType="end"/>
            </w:r>
          </w:hyperlink>
        </w:p>
        <w:p w14:paraId="388949D2" w14:textId="48951FB2" w:rsidR="00C0682C" w:rsidRPr="00C0682C" w:rsidRDefault="0098369B">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00C0682C" w:rsidRPr="00C0682C">
              <w:rPr>
                <w:rStyle w:val="Collegamentoipertestuale"/>
                <w:rFonts w:ascii="Times New Roman" w:hAnsi="Times New Roman" w:cs="Times New Roman"/>
                <w:noProof/>
                <w:sz w:val="26"/>
                <w:szCs w:val="26"/>
              </w:rPr>
              <w:t>MODEL</w:t>
            </w:r>
            <w:r w:rsidR="00CE5EEC">
              <w:rPr>
                <w:rStyle w:val="Collegamentoipertestuale"/>
                <w:rFonts w:ascii="Times New Roman" w:hAnsi="Times New Roman" w:cs="Times New Roman"/>
                <w:noProof/>
                <w:sz w:val="26"/>
                <w:szCs w:val="26"/>
              </w:rPr>
              <w:t>L</w:t>
            </w:r>
            <w:r w:rsidR="00C0682C" w:rsidRPr="00C0682C">
              <w:rPr>
                <w:rStyle w:val="Collegamentoipertestuale"/>
                <w:rFonts w:ascii="Times New Roman" w:hAnsi="Times New Roman" w:cs="Times New Roman"/>
                <w:noProof/>
                <w:sz w:val="26"/>
                <w:szCs w:val="26"/>
              </w:rPr>
              <w:t>IZZAZIONE DELLA PERDITA E SIMULAZIONE MONTE CARLO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_Toc512422408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12</w:t>
            </w:r>
            <w:r w:rsidR="00C0682C" w:rsidRPr="00C0682C">
              <w:rPr>
                <w:rFonts w:ascii="Times New Roman" w:hAnsi="Times New Roman" w:cs="Times New Roman"/>
                <w:noProof/>
                <w:webHidden/>
                <w:sz w:val="26"/>
                <w:szCs w:val="26"/>
              </w:rPr>
              <w:fldChar w:fldCharType="end"/>
            </w:r>
          </w:hyperlink>
        </w:p>
        <w:p w14:paraId="05E1BEB5" w14:textId="31E86CEA" w:rsidR="00C0682C" w:rsidRPr="00C0682C" w:rsidRDefault="0098369B">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00C0682C" w:rsidRPr="00C0682C">
              <w:rPr>
                <w:rStyle w:val="Collegamentoipertestuale"/>
                <w:rFonts w:ascii="Times New Roman" w:hAnsi="Times New Roman" w:cs="Times New Roman"/>
                <w:noProof/>
                <w:sz w:val="26"/>
                <w:szCs w:val="26"/>
              </w:rPr>
              <w:t>AGGREGAZIONE DELLE CLASSI DI RISCHIO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_Toc512422409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16</w:t>
            </w:r>
            <w:r w:rsidR="00C0682C" w:rsidRPr="00C0682C">
              <w:rPr>
                <w:rFonts w:ascii="Times New Roman" w:hAnsi="Times New Roman" w:cs="Times New Roman"/>
                <w:noProof/>
                <w:webHidden/>
                <w:sz w:val="26"/>
                <w:szCs w:val="26"/>
              </w:rPr>
              <w:fldChar w:fldCharType="end"/>
            </w:r>
          </w:hyperlink>
        </w:p>
        <w:p w14:paraId="405DC8D2" w14:textId="36B6695C" w:rsidR="00C0682C" w:rsidRPr="00C0682C" w:rsidRDefault="0098369B">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00C0682C" w:rsidRPr="00C0682C">
              <w:rPr>
                <w:rStyle w:val="Collegamentoipertestuale"/>
                <w:rFonts w:ascii="Times New Roman" w:hAnsi="Times New Roman" w:cs="Times New Roman"/>
                <w:noProof/>
                <w:sz w:val="26"/>
                <w:szCs w:val="26"/>
              </w:rPr>
              <w:t>CAPITAL AT RISK E IL 2</w:t>
            </w:r>
            <w:r w:rsidR="00C0682C" w:rsidRPr="00C0682C">
              <w:rPr>
                <w:rStyle w:val="Collegamentoipertestuale"/>
                <w:rFonts w:ascii="Times New Roman" w:hAnsi="Times New Roman" w:cs="Times New Roman"/>
                <w:noProof/>
                <w:sz w:val="26"/>
                <w:szCs w:val="26"/>
                <w:vertAlign w:val="superscript"/>
              </w:rPr>
              <w:t xml:space="preserve">O </w:t>
            </w:r>
            <w:r w:rsidR="00C0682C" w:rsidRPr="00C0682C">
              <w:rPr>
                <w:rStyle w:val="Collegamentoipertestuale"/>
                <w:rFonts w:ascii="Times New Roman" w:hAnsi="Times New Roman" w:cs="Times New Roman"/>
                <w:noProof/>
                <w:sz w:val="26"/>
                <w:szCs w:val="26"/>
              </w:rPr>
              <w:t>PILASTRO DI BASILEA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_Toc512422410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17</w:t>
            </w:r>
            <w:r w:rsidR="00C0682C" w:rsidRPr="00C0682C">
              <w:rPr>
                <w:rFonts w:ascii="Times New Roman" w:hAnsi="Times New Roman" w:cs="Times New Roman"/>
                <w:noProof/>
                <w:webHidden/>
                <w:sz w:val="26"/>
                <w:szCs w:val="26"/>
              </w:rPr>
              <w:fldChar w:fldCharType="end"/>
            </w:r>
          </w:hyperlink>
        </w:p>
        <w:p w14:paraId="68EDFA6D" w14:textId="08D33B0F" w:rsidR="00C0682C" w:rsidRPr="00C0682C" w:rsidRDefault="0098369B">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00C0682C" w:rsidRPr="00C0682C">
              <w:rPr>
                <w:rStyle w:val="Collegamentoipertestuale"/>
                <w:rFonts w:ascii="Times New Roman" w:hAnsi="Times New Roman" w:cs="Times New Roman"/>
                <w:noProof/>
                <w:sz w:val="26"/>
                <w:szCs w:val="26"/>
              </w:rPr>
              <w:t>DEFINIZIONE DELLE DISTRIBUZIONI DI FREQUENCY E SEVERITY</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_Toc512422411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18</w:t>
            </w:r>
            <w:r w:rsidR="00C0682C" w:rsidRPr="00C0682C">
              <w:rPr>
                <w:rFonts w:ascii="Times New Roman" w:hAnsi="Times New Roman" w:cs="Times New Roman"/>
                <w:noProof/>
                <w:webHidden/>
                <w:sz w:val="26"/>
                <w:szCs w:val="26"/>
              </w:rPr>
              <w:fldChar w:fldCharType="end"/>
            </w:r>
          </w:hyperlink>
        </w:p>
        <w:p w14:paraId="0CAD1525" w14:textId="0645BD95" w:rsidR="00C0682C" w:rsidRPr="00C0682C" w:rsidRDefault="0098369B">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00C0682C" w:rsidRPr="00C0682C">
              <w:rPr>
                <w:rStyle w:val="Collegamentoipertestuale"/>
                <w:rFonts w:ascii="Times New Roman" w:hAnsi="Times New Roman" w:cs="Times New Roman"/>
                <w:noProof/>
                <w:sz w:val="26"/>
                <w:szCs w:val="26"/>
              </w:rPr>
              <w:t>BIBLIOGRAFIA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_Toc512422412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20</w:t>
            </w:r>
            <w:r w:rsidR="00C0682C"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242240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39D72F7D"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Risk</w:t>
      </w:r>
      <w:proofErr w:type="spellEnd"/>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05068AF0"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w:t>
      </w:r>
      <w:proofErr w:type="spellStart"/>
      <w:r w:rsidRPr="003C3F6E">
        <w:rPr>
          <w:rFonts w:ascii="Times New Roman" w:hAnsi="Times New Roman" w:cs="Times New Roman"/>
          <w:color w:val="000000"/>
          <w:sz w:val="26"/>
          <w:szCs w:val="26"/>
        </w:rPr>
        <w:t>sottoprocessi</w:t>
      </w:r>
      <w:proofErr w:type="spellEnd"/>
      <w:r w:rsidRPr="003C3F6E">
        <w:rPr>
          <w:rFonts w:ascii="Times New Roman" w:hAnsi="Times New Roman" w:cs="Times New Roman"/>
          <w:color w:val="000000"/>
          <w:sz w:val="26"/>
          <w:szCs w:val="26"/>
        </w:rPr>
        <w:t xml:space="preserve">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2F1F459E" w14:textId="04224933"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586DF0CC"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 xml:space="preserve">la banca divide la propria attività in più unità e linee di business standardizzate. All’interno di </w:t>
      </w:r>
      <w:proofErr w:type="spellStart"/>
      <w:r w:rsidR="004A0C6F" w:rsidRPr="003C3F6E">
        <w:rPr>
          <w:rFonts w:ascii="Times New Roman" w:hAnsi="Times New Roman" w:cs="Times New Roman"/>
          <w:color w:val="000000"/>
          <w:sz w:val="26"/>
          <w:szCs w:val="26"/>
        </w:rPr>
        <w:t>ciascina</w:t>
      </w:r>
      <w:proofErr w:type="spellEnd"/>
      <w:r w:rsidR="004A0C6F" w:rsidRPr="003C3F6E">
        <w:rPr>
          <w:rFonts w:ascii="Times New Roman" w:hAnsi="Times New Roman" w:cs="Times New Roman"/>
          <w:color w:val="000000"/>
          <w:sz w:val="26"/>
          <w:szCs w:val="26"/>
        </w:rPr>
        <w:t xml:space="preserve"> linea di business, la quantità di capitale da accantonare è determinata moltiplicando un indicatore finanziario, come l’utile </w:t>
      </w:r>
      <w:proofErr w:type="spellStart"/>
      <w:r w:rsidR="004A0C6F" w:rsidRPr="003C3F6E">
        <w:rPr>
          <w:rFonts w:ascii="Times New Roman" w:hAnsi="Times New Roman" w:cs="Times New Roman"/>
          <w:color w:val="000000"/>
          <w:sz w:val="26"/>
          <w:szCs w:val="26"/>
        </w:rPr>
        <w:t>lorso</w:t>
      </w:r>
      <w:proofErr w:type="spellEnd"/>
      <w:r w:rsidR="004A0C6F" w:rsidRPr="003C3F6E">
        <w:rPr>
          <w:rFonts w:ascii="Times New Roman" w:hAnsi="Times New Roman" w:cs="Times New Roman"/>
          <w:color w:val="000000"/>
          <w:sz w:val="26"/>
          <w:szCs w:val="26"/>
        </w:rPr>
        <w:t xml:space="preserve">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789BDB22"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w:t>
      </w:r>
      <w:proofErr w:type="spellStart"/>
      <w:r w:rsidR="00D54162" w:rsidRPr="003C3F6E">
        <w:rPr>
          <w:rFonts w:ascii="Times New Roman" w:hAnsi="Times New Roman" w:cs="Times New Roman"/>
          <w:color w:val="000000"/>
          <w:sz w:val="26"/>
          <w:szCs w:val="26"/>
        </w:rPr>
        <w:t>Risk</w:t>
      </w:r>
      <w:proofErr w:type="spellEnd"/>
      <w:r w:rsidR="00D54162" w:rsidRPr="003C3F6E">
        <w:rPr>
          <w:rFonts w:ascii="Times New Roman" w:hAnsi="Times New Roman" w:cs="Times New Roman"/>
          <w:color w:val="000000"/>
          <w:sz w:val="26"/>
          <w:szCs w:val="26"/>
        </w:rPr>
        <w:t xml:space="preserve">,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w:t>
      </w:r>
      <w:proofErr w:type="spellStart"/>
      <w:r w:rsidR="00D54162" w:rsidRPr="003C3F6E">
        <w:rPr>
          <w:rFonts w:ascii="Times New Roman" w:hAnsi="Times New Roman" w:cs="Times New Roman"/>
          <w:color w:val="000000"/>
          <w:sz w:val="26"/>
          <w:szCs w:val="26"/>
        </w:rPr>
        <w:t>Risk</w:t>
      </w:r>
      <w:proofErr w:type="spellEnd"/>
      <w:r w:rsidR="00D54162" w:rsidRPr="003C3F6E">
        <w:rPr>
          <w:rFonts w:ascii="Times New Roman" w:hAnsi="Times New Roman" w:cs="Times New Roman"/>
          <w:color w:val="000000"/>
          <w:sz w:val="26"/>
          <w:szCs w:val="26"/>
        </w:rPr>
        <w:t xml:space="preserve">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15D3CE35"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metodo da noi studiato per l’analisi del rischio operativi appartiene alla famiglia dei metodi avanzati di misurazione ed è definito: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2422407"/>
      <w:r w:rsidRPr="006E3CBF">
        <w:lastRenderedPageBreak/>
        <w:t>LOSS DISTRIBUTION APPROACH</w:t>
      </w:r>
      <w:bookmarkEnd w:id="2"/>
    </w:p>
    <w:p w14:paraId="79DA4AF9" w14:textId="1C9EF8FA"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7E3C0653" w:rsidR="00FC458D" w:rsidRDefault="00FC458D" w:rsidP="00D2561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1424C8C8"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venti di perdita operativa in un </w:t>
      </w:r>
      <w:proofErr w:type="spellStart"/>
      <w:r>
        <w:rPr>
          <w:rFonts w:ascii="Times" w:hAnsi="Times" w:cs="Times"/>
          <w:color w:val="000000"/>
          <w:sz w:val="26"/>
          <w:szCs w:val="26"/>
        </w:rPr>
        <w:t>orrizzonte</w:t>
      </w:r>
      <w:proofErr w:type="spellEnd"/>
      <w:r>
        <w:rPr>
          <w:rFonts w:ascii="Times" w:hAnsi="Times" w:cs="Times"/>
          <w:color w:val="000000"/>
          <w:sz w:val="26"/>
          <w:szCs w:val="26"/>
        </w:rPr>
        <w:t xml:space="preserve"> temporale giornaliero;</w:t>
      </w:r>
    </w:p>
    <w:p w14:paraId="74657D77" w14:textId="359B532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l’i-esimo </w:t>
      </w:r>
      <w:proofErr w:type="spellStart"/>
      <w:r>
        <w:rPr>
          <w:rFonts w:ascii="Times" w:hAnsi="Times" w:cs="Times"/>
          <w:color w:val="000000"/>
          <w:sz w:val="26"/>
          <w:szCs w:val="26"/>
        </w:rPr>
        <w:t>event</w:t>
      </w:r>
      <w:proofErr w:type="spellEnd"/>
      <w:r>
        <w:rPr>
          <w:rFonts w:ascii="Times" w:hAnsi="Times" w:cs="Times"/>
          <w:color w:val="000000"/>
          <w:sz w:val="26"/>
          <w:szCs w:val="26"/>
        </w:rPr>
        <w:t xml:space="preserve"> </w:t>
      </w:r>
      <w:proofErr w:type="spellStart"/>
      <w:r>
        <w:rPr>
          <w:rFonts w:ascii="Times" w:hAnsi="Times" w:cs="Times"/>
          <w:color w:val="000000"/>
          <w:sz w:val="26"/>
          <w:szCs w:val="26"/>
        </w:rPr>
        <w:t>type</w:t>
      </w:r>
      <w:proofErr w:type="spellEnd"/>
      <w:r>
        <w:rPr>
          <w:rFonts w:ascii="Times" w:hAnsi="Times" w:cs="Times"/>
          <w:color w:val="000000"/>
          <w:sz w:val="26"/>
          <w:szCs w:val="26"/>
        </w:rPr>
        <w:t xml:space="preserve"> all’interno del j-esimo dell’impresa.</w:t>
      </w:r>
    </w:p>
    <w:p w14:paraId="437528C6" w14:textId="1C012F2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w:t>
      </w:r>
      <w:proofErr w:type="spellStart"/>
      <w:r w:rsidR="00893559">
        <w:rPr>
          <w:rFonts w:ascii="Times" w:hAnsi="Times" w:cs="Times"/>
          <w:color w:val="000000"/>
          <w:sz w:val="26"/>
          <w:szCs w:val="26"/>
        </w:rPr>
        <w:t>Poissoniana</w:t>
      </w:r>
      <w:proofErr w:type="spellEnd"/>
      <w:r w:rsidR="00893559">
        <w:rPr>
          <w:rFonts w:ascii="Times" w:hAnsi="Times" w:cs="Times"/>
          <w:color w:val="000000"/>
          <w:sz w:val="26"/>
          <w:szCs w:val="26"/>
        </w:rPr>
        <w:t xml:space="preserve">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=5.</w:t>
      </w:r>
      <w:r w:rsidR="00893559">
        <w:rPr>
          <w:rFonts w:ascii="Times" w:hAnsi="Times" w:cs="Times"/>
          <w:color w:val="000000"/>
          <w:sz w:val="26"/>
          <w:szCs w:val="26"/>
        </w:rPr>
        <w:t xml:space="preserve"> La distribuzione di </w:t>
      </w:r>
      <w:proofErr w:type="spellStart"/>
      <w:r w:rsidR="00893559">
        <w:rPr>
          <w:rFonts w:ascii="Times" w:hAnsi="Times" w:cs="Times"/>
          <w:color w:val="000000"/>
          <w:sz w:val="26"/>
          <w:szCs w:val="26"/>
        </w:rPr>
        <w:t>severity</w:t>
      </w:r>
      <w:proofErr w:type="spellEnd"/>
      <w:r w:rsidR="00893559">
        <w:rPr>
          <w:rFonts w:ascii="Times" w:hAnsi="Times" w:cs="Times"/>
          <w:color w:val="000000"/>
          <w:sz w:val="26"/>
          <w:szCs w:val="26"/>
        </w:rPr>
        <w:t xml:space="preserve">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0D51E8C2" w14:textId="66DF8926"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 xml:space="preserve">è una variabile casuale discreta che può assumere qualsiasi valore intero non negativo. È un modello probabilistico adoperato per rappresentare situazioni di </w:t>
      </w:r>
      <w:r w:rsidR="000B4017" w:rsidRPr="003C3F6E">
        <w:rPr>
          <w:rFonts w:ascii="Times" w:hAnsi="Times" w:cs="Times"/>
          <w:color w:val="000000"/>
          <w:sz w:val="26"/>
          <w:szCs w:val="26"/>
        </w:rPr>
        <w:lastRenderedPageBreak/>
        <w:t xml:space="preserve">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0B4017" w:rsidRPr="003C3F6E">
        <w:rPr>
          <w:rFonts w:ascii="Times" w:hAnsi="Times" w:cs="Times"/>
          <w:color w:val="000000"/>
          <w:sz w:val="26"/>
          <w:szCs w:val="26"/>
        </w:rPr>
        <w:t xml:space="preserve"> sia molto piccola. Le ipotesi di base della Poisson sono:</w:t>
      </w:r>
    </w:p>
    <w:p w14:paraId="1A5B01AB" w14:textId="128EB4C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305BB086" w14:textId="0F50663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4C857C5B" w14:textId="77777777" w:rsidR="000B4017" w:rsidRPr="003C3F6E" w:rsidRDefault="000B4017" w:rsidP="00D25619">
      <w:pPr>
        <w:spacing w:line="276" w:lineRule="auto"/>
        <w:jc w:val="center"/>
        <w:rPr>
          <w:rFonts w:ascii="Times New Roman"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Pr="003C3F6E">
        <w:rPr>
          <w:rFonts w:ascii="Times New Roman" w:eastAsiaTheme="minorEastAsia" w:hAnsi="Times New Roman" w:cs="Times New Roman"/>
          <w:sz w:val="26"/>
          <w:szCs w:val="26"/>
        </w:rPr>
        <w:t xml:space="preserve">  dove </w:t>
      </w:r>
      <m:oMath>
        <m:r>
          <w:rPr>
            <w:rFonts w:ascii="Cambria Math" w:eastAsiaTheme="minorEastAsia" w:hAnsi="Cambria Math" w:cs="Times New Roman"/>
            <w:sz w:val="26"/>
            <w:szCs w:val="26"/>
          </w:rPr>
          <m:t>X ~ P(λ)</m:t>
        </m:r>
      </m:oMath>
    </w:p>
    <w:bookmarkEnd w:id="4"/>
    <w:p w14:paraId="1880B7E3" w14:textId="77777777" w:rsidR="000B4017" w:rsidRDefault="000B4017" w:rsidP="00D25619">
      <w:pPr>
        <w:widowControl w:val="0"/>
        <w:autoSpaceDE w:val="0"/>
        <w:autoSpaceDN w:val="0"/>
        <w:adjustRightInd w:val="0"/>
        <w:spacing w:after="240" w:line="276" w:lineRule="auto"/>
        <w:rPr>
          <w:rFonts w:ascii="Times" w:hAnsi="Times" w:cs="Times"/>
          <w:color w:val="000000"/>
          <w:sz w:val="26"/>
          <w:szCs w:val="26"/>
        </w:rPr>
      </w:pPr>
    </w:p>
    <w:p w14:paraId="62D752AF" w14:textId="22D285CB"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bookmarkStart w:id="5" w:name="_GoBack"/>
      <w:bookmarkEnd w:id="5"/>
    </w:p>
    <w:p w14:paraId="046B37DC" w14:textId="51A2850E" w:rsidR="000B4017" w:rsidRDefault="002924E9" w:rsidP="00D25619">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2924E9">
        <w:rPr>
          <w:rFonts w:ascii="Times New Roman" w:hAnsi="Times New Roman" w:cs="Times New Roman"/>
          <w:noProof/>
          <w:color w:val="000000"/>
          <w:sz w:val="26"/>
          <w:szCs w:val="26"/>
          <w:lang w:eastAsia="it-IT"/>
        </w:rPr>
        <w:drawing>
          <wp:inline distT="0" distB="0" distL="0" distR="0" wp14:anchorId="64B33850" wp14:editId="4A84544A">
            <wp:extent cx="5326380" cy="39928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0B4017" w:rsidRPr="003C3F6E">
        <w:rPr>
          <w:rFonts w:ascii="Times New Roman" w:hAnsi="Times New Roman" w:cs="Times New Roman"/>
          <w:color w:val="000000"/>
          <w:sz w:val="26"/>
          <w:szCs w:val="26"/>
        </w:rPr>
        <w:t>.</w:t>
      </w:r>
    </w:p>
    <w:p w14:paraId="2AB96AB7" w14:textId="77777777" w:rsidR="002924E9" w:rsidRPr="003C3F6E" w:rsidRDefault="002924E9"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A4E58A5" w14:textId="560B9FE0" w:rsidR="00C50E62" w:rsidRDefault="00C50E62" w:rsidP="00D25619">
      <w:pPr>
        <w:widowControl w:val="0"/>
        <w:autoSpaceDE w:val="0"/>
        <w:autoSpaceDN w:val="0"/>
        <w:adjustRightInd w:val="0"/>
        <w:spacing w:after="240" w:line="276" w:lineRule="auto"/>
        <w:jc w:val="both"/>
        <w:rPr>
          <w:rFonts w:ascii="Times" w:hAnsi="Times" w:cs="Times"/>
          <w:color w:val="000000"/>
        </w:rPr>
      </w:pPr>
    </w:p>
    <w:p w14:paraId="170128BF" w14:textId="77777777" w:rsidR="005B2B00" w:rsidRDefault="005B2B00" w:rsidP="00D25619">
      <w:pPr>
        <w:widowControl w:val="0"/>
        <w:autoSpaceDE w:val="0"/>
        <w:autoSpaceDN w:val="0"/>
        <w:adjustRightInd w:val="0"/>
        <w:spacing w:after="240" w:line="276" w:lineRule="auto"/>
        <w:jc w:val="both"/>
        <w:rPr>
          <w:rFonts w:ascii="Times" w:hAnsi="Times" w:cs="Times"/>
          <w:color w:val="000000"/>
        </w:rPr>
      </w:pPr>
    </w:p>
    <w:p w14:paraId="53CDFCA4" w14:textId="7AAB72E7" w:rsidR="007073DC" w:rsidRPr="003C3F6E" w:rsidRDefault="00C50E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Diamo dunque uno sguardo 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trovata tramite simulazione Monte Carlo:</w:t>
      </w:r>
    </w:p>
    <w:p w14:paraId="1E63F444" w14:textId="7F5E7F2C" w:rsidR="00C50E62" w:rsidRDefault="005B2B00" w:rsidP="00D25619">
      <w:pPr>
        <w:widowControl w:val="0"/>
        <w:autoSpaceDE w:val="0"/>
        <w:autoSpaceDN w:val="0"/>
        <w:adjustRightInd w:val="0"/>
        <w:spacing w:after="240" w:line="276" w:lineRule="auto"/>
        <w:jc w:val="center"/>
        <w:rPr>
          <w:rFonts w:ascii="Times" w:hAnsi="Times" w:cs="Times"/>
          <w:color w:val="000000"/>
        </w:rPr>
      </w:pPr>
      <w:r>
        <w:rPr>
          <w:rFonts w:ascii="Times" w:hAnsi="Times" w:cs="Times"/>
          <w:noProof/>
          <w:color w:val="000000"/>
          <w:lang w:eastAsia="it-IT"/>
        </w:rPr>
        <w:drawing>
          <wp:inline distT="0" distB="0" distL="0" distR="0" wp14:anchorId="6741C839" wp14:editId="61AB1BAE">
            <wp:extent cx="5334000" cy="4000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Y.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2A0C58C" w14:textId="6172B167" w:rsidR="00C50E62" w:rsidRPr="005B2B00" w:rsidRDefault="005B2B00" w:rsidP="00D25619">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2EE682B2" w14:textId="38E19340" w:rsidR="000B4017"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w:t>
      </w:r>
      <w:r w:rsidRPr="003C3F6E">
        <w:rPr>
          <w:rFonts w:ascii="Times" w:hAnsi="Times" w:cs="Times"/>
          <w:color w:val="000000"/>
          <w:sz w:val="26"/>
          <w:szCs w:val="26"/>
        </w:rPr>
        <w:lastRenderedPageBreak/>
        <w:t xml:space="preserve">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56E5447A" w14:textId="77777777" w:rsidR="007073DC" w:rsidRDefault="007073DC" w:rsidP="00D25619">
      <w:pPr>
        <w:widowControl w:val="0"/>
        <w:autoSpaceDE w:val="0"/>
        <w:autoSpaceDN w:val="0"/>
        <w:adjustRightInd w:val="0"/>
        <w:spacing w:after="240" w:line="276" w:lineRule="auto"/>
        <w:rPr>
          <w:rFonts w:ascii="Times" w:hAnsi="Times" w:cs="Times"/>
          <w:color w:val="000000"/>
        </w:rPr>
      </w:pPr>
    </w:p>
    <w:p w14:paraId="5300016F" w14:textId="0901576C" w:rsidR="000B4017"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fornisce un'approssimazione per il prodotto di "molte" variabili aleatorie IID X</w:t>
      </w:r>
      <w:proofErr w:type="gramStart"/>
      <w:r w:rsidRPr="003C3F6E">
        <w:rPr>
          <w:rFonts w:ascii="Times" w:hAnsi="Times" w:cs="Times"/>
          <w:color w:val="000000"/>
          <w:sz w:val="26"/>
          <w:szCs w:val="26"/>
        </w:rPr>
        <w:t>1,...</w:t>
      </w:r>
      <w:proofErr w:type="gramEnd"/>
      <w:r w:rsidRPr="003C3F6E">
        <w:rPr>
          <w:rFonts w:ascii="Times" w:hAnsi="Times" w:cs="Times"/>
          <w:color w:val="000000"/>
          <w:sz w:val="26"/>
          <w:szCs w:val="26"/>
        </w:rPr>
        <w:t>,</w:t>
      </w:r>
      <w:proofErr w:type="spellStart"/>
      <w:r w:rsidRPr="003C3F6E">
        <w:rPr>
          <w:rFonts w:ascii="Times" w:hAnsi="Times" w:cs="Times"/>
          <w:color w:val="000000"/>
          <w:sz w:val="26"/>
          <w:szCs w:val="26"/>
        </w:rPr>
        <w:t>Xn</w:t>
      </w:r>
      <w:proofErr w:type="spellEnd"/>
      <w:r w:rsidRPr="003C3F6E">
        <w:rPr>
          <w:rFonts w:ascii="Times" w:hAnsi="Times" w:cs="Times"/>
          <w:color w:val="000000"/>
          <w:sz w:val="26"/>
          <w:szCs w:val="26"/>
        </w:rPr>
        <w:t>.</w:t>
      </w:r>
    </w:p>
    <w:p w14:paraId="13836F54" w14:textId="0572DB4F"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r w:rsidRPr="002924E9">
        <w:rPr>
          <w:rFonts w:ascii="Times" w:hAnsi="Times" w:cs="Times"/>
          <w:noProof/>
          <w:color w:val="000000"/>
          <w:sz w:val="26"/>
          <w:szCs w:val="26"/>
          <w:lang w:eastAsia="it-IT"/>
        </w:rPr>
        <w:drawing>
          <wp:inline distT="0" distB="0" distL="0" distR="0" wp14:anchorId="1F60A370" wp14:editId="186F6B44">
            <wp:extent cx="5326380" cy="39928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122BE9F" w14:textId="40CFE7C9"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 xml:space="preserve">Un aspetto molto importante è la messa a punto di misure di rischio che sintetizzino il rischio di </w:t>
      </w:r>
      <w:r w:rsidR="007073DC" w:rsidRPr="003C3F6E">
        <w:rPr>
          <w:rFonts w:ascii="Times" w:hAnsi="Times" w:cs="Times"/>
          <w:color w:val="000000"/>
          <w:sz w:val="26"/>
          <w:szCs w:val="26"/>
        </w:rPr>
        <w:lastRenderedPageBreak/>
        <w:t xml:space="preserve">perdite operative e cioè l’incertezza della variabile casuale L. Tra le diverse misure di rischio ci è 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w:t>
      </w:r>
      <w:proofErr w:type="spellStart"/>
      <w:r w:rsidR="007073DC" w:rsidRPr="003C3F6E">
        <w:rPr>
          <w:rFonts w:ascii="Times" w:hAnsi="Times" w:cs="Times"/>
          <w:color w:val="000000"/>
          <w:sz w:val="26"/>
          <w:szCs w:val="26"/>
        </w:rPr>
        <w:t>Risk</w:t>
      </w:r>
      <w:proofErr w:type="spellEnd"/>
      <w:r w:rsidR="007073DC" w:rsidRPr="003C3F6E">
        <w:rPr>
          <w:rFonts w:ascii="Times" w:hAnsi="Times" w:cs="Times"/>
          <w:color w:val="000000"/>
          <w:sz w:val="26"/>
          <w:szCs w:val="26"/>
        </w:rPr>
        <w:t>.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39619CDC" w14:textId="484CB7EE" w:rsidR="007073DC" w:rsidRPr="003C3F6E" w:rsidRDefault="007073DC"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Pr="003C3F6E">
        <w:rPr>
          <w:rFonts w:ascii="Times" w:hAnsi="Times" w:cs="Times"/>
          <w:color w:val="000000"/>
          <w:sz w:val="26"/>
          <w:szCs w:val="26"/>
        </w:rPr>
        <w:t>(1-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6" w:name="_Toc512422408"/>
      <w:r w:rsidRPr="003C3F6E">
        <w:lastRenderedPageBreak/>
        <w:t>MODEL</w:t>
      </w:r>
      <w:r w:rsidR="00201020">
        <w:t>L</w:t>
      </w:r>
      <w:r w:rsidRPr="003C3F6E">
        <w:t>IZZAZIONE DELLA PERDITA E SIMULAZIONE MONTE CARLO</w:t>
      </w:r>
      <w:bookmarkEnd w:id="6"/>
    </w:p>
    <w:p w14:paraId="54C2B4D0" w14:textId="77777777"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Una volta che si sono costruite le distribuzioni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3C10818D"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determinano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7AD994C2"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se ne </w:t>
      </w:r>
      <w:r w:rsidRPr="003C3F6E">
        <w:rPr>
          <w:rFonts w:ascii="Times" w:hAnsi="Times" w:cs="Times"/>
          <w:color w:val="000000"/>
          <w:sz w:val="26"/>
          <w:szCs w:val="26"/>
        </w:rPr>
        <w:t>fa</w:t>
      </w:r>
      <w:r w:rsidR="007073DC" w:rsidRPr="003C3F6E">
        <w:rPr>
          <w:rFonts w:ascii="Times" w:hAnsi="Times" w:cs="Times"/>
          <w:color w:val="000000"/>
          <w:sz w:val="26"/>
          <w:szCs w:val="26"/>
        </w:rPr>
        <w:t xml:space="preserve"> 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w:t>
      </w:r>
      <w:proofErr w:type="spellStart"/>
      <w:r w:rsidR="007073DC" w:rsidRPr="003C3F6E">
        <w:rPr>
          <w:rFonts w:ascii="Times" w:hAnsi="Times" w:cs="Times"/>
          <w:color w:val="000000"/>
          <w:sz w:val="26"/>
          <w:szCs w:val="26"/>
        </w:rPr>
        <w:t>Risk</w:t>
      </w:r>
      <w:proofErr w:type="spellEnd"/>
      <w:r w:rsidR="007073DC" w:rsidRPr="003C3F6E">
        <w:rPr>
          <w:rFonts w:ascii="Times" w:hAnsi="Times" w:cs="Times"/>
          <w:color w:val="000000"/>
          <w:sz w:val="26"/>
          <w:szCs w:val="26"/>
        </w:rPr>
        <w:t xml:space="preserve"> come percentile al livello desiderato.</w:t>
      </w:r>
    </w:p>
    <w:p w14:paraId="550DC72D" w14:textId="69ED9DCF"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Per costruire la distribuzione</w:t>
      </w:r>
      <w:r w:rsidR="00921D36" w:rsidRPr="003C3F6E">
        <w:rPr>
          <w:rFonts w:ascii="Times" w:hAnsi="Times" w:cs="Times"/>
          <w:color w:val="000000"/>
          <w:sz w:val="26"/>
          <w:szCs w:val="26"/>
        </w:rPr>
        <w:t xml:space="preserve"> di perdita</w:t>
      </w:r>
      <w:r w:rsidRPr="003C3F6E">
        <w:rPr>
          <w:rFonts w:ascii="Times" w:hAnsi="Times" w:cs="Times"/>
          <w:color w:val="000000"/>
          <w:sz w:val="26"/>
          <w:szCs w:val="26"/>
        </w:rPr>
        <w:t xml:space="preserve"> aggregata è necessario partire dall’assunzione che tutti gli eventi siano reciprocamente indipendenti, che il costo di ogni “incidente” sia identicamente distribuito e che 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quella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siano indipendenti. Con queste assunzioni si può definire come impatto di perdita totale L nell’intervallo di tempo desiderato (ad esempio un </w:t>
      </w:r>
      <w:r w:rsidR="00921D36" w:rsidRPr="003C3F6E">
        <w:rPr>
          <w:rFonts w:ascii="Times" w:hAnsi="Times" w:cs="Times"/>
          <w:color w:val="000000"/>
          <w:sz w:val="26"/>
          <w:szCs w:val="26"/>
        </w:rPr>
        <w:t>giorno</w:t>
      </w:r>
      <w:r w:rsidRPr="003C3F6E">
        <w:rPr>
          <w:rFonts w:ascii="Times" w:hAnsi="Times" w:cs="Times"/>
          <w:color w:val="000000"/>
          <w:sz w:val="26"/>
          <w:szCs w:val="26"/>
        </w:rPr>
        <w:t>) la seguente variabile:</w:t>
      </w:r>
    </w:p>
    <w:p w14:paraId="6CF8D926" w14:textId="08EF5764" w:rsidR="00921D36" w:rsidRPr="003C3F6E" w:rsidRDefault="00921D36"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noProof/>
          <w:color w:val="000000"/>
          <w:sz w:val="26"/>
          <w:szCs w:val="26"/>
          <w:lang w:eastAsia="it-IT"/>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59EE4CED" w:rsidR="00C50E62" w:rsidRPr="003C3F6E" w:rsidRDefault="00C50E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Diamo dunque uno sguardo alle distribuzioni di perdita trovate. Vi sono tre diverse di</w:t>
      </w:r>
      <w:r w:rsidR="006E3CBF">
        <w:rPr>
          <w:rFonts w:ascii="Times" w:hAnsi="Times" w:cs="Times"/>
          <w:color w:val="000000"/>
          <w:sz w:val="26"/>
          <w:szCs w:val="26"/>
        </w:rPr>
        <w:t>s</w:t>
      </w:r>
      <w:r w:rsidRPr="003C3F6E">
        <w:rPr>
          <w:rFonts w:ascii="Times" w:hAnsi="Times" w:cs="Times"/>
          <w:color w:val="000000"/>
          <w:sz w:val="26"/>
          <w:szCs w:val="26"/>
        </w:rPr>
        <w:t xml:space="preserve">tribuzioni, trovate dando valori specifici alle distribuzioni </w:t>
      </w:r>
      <w:proofErr w:type="spellStart"/>
      <w:r w:rsidRPr="003C3F6E">
        <w:rPr>
          <w:rFonts w:ascii="Times" w:hAnsi="Times" w:cs="Times"/>
          <w:color w:val="000000"/>
          <w:sz w:val="26"/>
          <w:szCs w:val="26"/>
        </w:rPr>
        <w:t>lognormali</w:t>
      </w:r>
      <w:proofErr w:type="spellEnd"/>
      <w:r w:rsidRPr="003C3F6E">
        <w:rPr>
          <w:rFonts w:ascii="Times" w:hAnsi="Times" w:cs="Times"/>
          <w:color w:val="000000"/>
          <w:sz w:val="26"/>
          <w:szCs w:val="26"/>
        </w:rPr>
        <w:t xml:space="preserve"> della </w:t>
      </w:r>
      <w:proofErr w:type="spellStart"/>
      <w:r w:rsidRPr="003C3F6E">
        <w:rPr>
          <w:rFonts w:ascii="Times" w:hAnsi="Times" w:cs="Times"/>
          <w:color w:val="000000"/>
          <w:sz w:val="26"/>
          <w:szCs w:val="26"/>
        </w:rPr>
        <w:t>sever</w:t>
      </w:r>
      <w:r w:rsidR="006E3CBF">
        <w:rPr>
          <w:rFonts w:ascii="Times" w:hAnsi="Times" w:cs="Times"/>
          <w:color w:val="000000"/>
          <w:sz w:val="26"/>
          <w:szCs w:val="26"/>
        </w:rPr>
        <w:t>i</w:t>
      </w:r>
      <w:r w:rsidRPr="003C3F6E">
        <w:rPr>
          <w:rFonts w:ascii="Times" w:hAnsi="Times" w:cs="Times"/>
          <w:color w:val="000000"/>
          <w:sz w:val="26"/>
          <w:szCs w:val="26"/>
        </w:rPr>
        <w:t>ty</w:t>
      </w:r>
      <w:proofErr w:type="spellEnd"/>
      <w:r w:rsidRPr="003C3F6E">
        <w:rPr>
          <w:rFonts w:ascii="Times" w:hAnsi="Times" w:cs="Times"/>
          <w:color w:val="000000"/>
          <w:sz w:val="26"/>
          <w:szCs w:val="26"/>
        </w:rPr>
        <w:t xml:space="preserve">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lang w:eastAsia="it-IT"/>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226DFB9" w:rsidR="00B05D59" w:rsidRDefault="009573ED"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drawing>
          <wp:inline distT="0" distB="0" distL="0" distR="0" wp14:anchorId="18618304" wp14:editId="64C09C23">
            <wp:extent cx="5154930" cy="38643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7483" cy="3866268"/>
                    </a:xfrm>
                    <a:prstGeom prst="rect">
                      <a:avLst/>
                    </a:prstGeom>
                    <a:noFill/>
                    <a:ln>
                      <a:noFill/>
                    </a:ln>
                  </pic:spPr>
                </pic:pic>
              </a:graphicData>
            </a:graphic>
          </wp:inline>
        </w:drawing>
      </w:r>
    </w:p>
    <w:p w14:paraId="15460FAB" w14:textId="6B3C283E"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Ricapitolando, la simulazione Monte Carlo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100 perdite più grandi di un campione di 100'000 perdite.</w:t>
      </w:r>
      <w:r w:rsidR="00212521" w:rsidRPr="003C3F6E">
        <w:rPr>
          <w:rFonts w:ascii="Times" w:hAnsi="Times" w:cs="Times"/>
          <w:color w:val="000000"/>
          <w:sz w:val="26"/>
          <w:szCs w:val="26"/>
        </w:rPr>
        <w:t xml:space="preserve"> Da notare che il periodo di tempo considerato può essere un giorno come un anno, dipende dall’interesse dell’analista.</w:t>
      </w:r>
      <w:r w:rsidRPr="003C3F6E">
        <w:rPr>
          <w:rFonts w:ascii="Times" w:hAnsi="Times" w:cs="Times"/>
          <w:color w:val="000000"/>
          <w:sz w:val="26"/>
          <w:szCs w:val="26"/>
        </w:rPr>
        <w:t xml:space="preserve"> </w:t>
      </w:r>
    </w:p>
    <w:p w14:paraId="468719B9" w14:textId="1EED42C7" w:rsidR="00212521"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 xml:space="preserve">percentile della distribuzione di perdita aggregata. 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w:t>
      </w:r>
      <w:r w:rsidRPr="003C3F6E">
        <w:rPr>
          <w:rFonts w:ascii="Times" w:hAnsi="Times" w:cs="Times"/>
          <w:color w:val="000000"/>
          <w:sz w:val="26"/>
          <w:szCs w:val="26"/>
        </w:rPr>
        <w:lastRenderedPageBreak/>
        <w:t>determinato periodo di tempo nel (1 - α) % degli eventi, dove il coefficiente α rappresenta il livello di tolleranza.</w:t>
      </w:r>
    </w:p>
    <w:p w14:paraId="0178732B" w14:textId="072E3DE6" w:rsidR="003C3F6E" w:rsidRDefault="00212521" w:rsidP="000B2FD6">
      <w:pPr>
        <w:pStyle w:val="Titolo1"/>
      </w:pPr>
      <w:r w:rsidRPr="003C3F6E">
        <w:br w:type="page"/>
      </w:r>
      <w:bookmarkStart w:id="7" w:name="_Toc512422409"/>
      <w:r w:rsidRPr="003C3F6E">
        <w:lastRenderedPageBreak/>
        <w:t>AGGREGAZIONE DELLE CLASSI DI RISCHIO</w:t>
      </w:r>
      <w:bookmarkEnd w:id="7"/>
    </w:p>
    <w:p w14:paraId="341BD91C" w14:textId="58FF1170" w:rsidR="00212521" w:rsidRDefault="00212521" w:rsidP="00D25619">
      <w:pPr>
        <w:spacing w:line="276" w:lineRule="auto"/>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 xml:space="preserve">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2F1508E6" w14:textId="77777777" w:rsidR="003C3F6E" w:rsidRPr="003C3F6E" w:rsidRDefault="003C3F6E" w:rsidP="00D25619">
      <w:pPr>
        <w:spacing w:line="276" w:lineRule="auto"/>
        <w:rPr>
          <w:rFonts w:ascii="Times" w:hAnsi="Times" w:cs="Times"/>
          <w:color w:val="000000"/>
          <w:sz w:val="26"/>
          <w:szCs w:val="26"/>
        </w:rPr>
      </w:pPr>
    </w:p>
    <w:p w14:paraId="3EE4B16C" w14:textId="0401F952" w:rsidR="00212521" w:rsidRDefault="00212521" w:rsidP="00D25619">
      <w:pPr>
        <w:widowControl w:val="0"/>
        <w:autoSpaceDE w:val="0"/>
        <w:autoSpaceDN w:val="0"/>
        <w:adjustRightInd w:val="0"/>
        <w:spacing w:after="240" w:line="276" w:lineRule="auto"/>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br w:type="page"/>
      </w:r>
    </w:p>
    <w:p w14:paraId="1A865900" w14:textId="653D2021" w:rsidR="00212521" w:rsidRPr="006E3CBF" w:rsidRDefault="00212521" w:rsidP="000B2FD6">
      <w:pPr>
        <w:pStyle w:val="Titolo1"/>
      </w:pPr>
      <w:bookmarkStart w:id="8" w:name="_Toc512422410"/>
      <w:r w:rsidRPr="006E3CBF">
        <w:lastRenderedPageBreak/>
        <w:t>CAPITAL AT RISK E IL 2</w:t>
      </w:r>
      <w:r w:rsidRPr="006E3CBF">
        <w:rPr>
          <w:vertAlign w:val="superscript"/>
        </w:rPr>
        <w:t xml:space="preserve">O </w:t>
      </w:r>
      <w:r w:rsidRPr="006E3CBF">
        <w:t>PILASTRO DI BASILEA</w:t>
      </w:r>
      <w:bookmarkEnd w:id="8"/>
      <w:r w:rsidRPr="006E3CBF">
        <w:t xml:space="preserve"> </w:t>
      </w:r>
    </w:p>
    <w:p w14:paraId="063ACD73" w14:textId="6AE06CB5" w:rsidR="00212521" w:rsidRPr="003C3F6E" w:rsidRDefault="00117E2A"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2"/>
      </w:r>
      <w:r w:rsidR="00212521"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00212521" w:rsidRPr="003C3F6E">
        <w:rPr>
          <w:rFonts w:ascii="Times" w:hAnsi="Times" w:cs="Times"/>
          <w:color w:val="000000"/>
          <w:sz w:val="26"/>
          <w:szCs w:val="26"/>
        </w:rPr>
        <w:t>Event</w:t>
      </w:r>
      <w:proofErr w:type="spellEnd"/>
      <w:r w:rsidR="00212521" w:rsidRPr="003C3F6E">
        <w:rPr>
          <w:rFonts w:ascii="Times" w:hAnsi="Times" w:cs="Times"/>
          <w:color w:val="000000"/>
          <w:sz w:val="26"/>
          <w:szCs w:val="26"/>
        </w:rPr>
        <w:t xml:space="preserve"> </w:t>
      </w:r>
      <w:proofErr w:type="spellStart"/>
      <w:r w:rsidR="00212521" w:rsidRPr="003C3F6E">
        <w:rPr>
          <w:rFonts w:ascii="Times" w:hAnsi="Times" w:cs="Times"/>
          <w:color w:val="000000"/>
          <w:sz w:val="26"/>
          <w:szCs w:val="26"/>
        </w:rPr>
        <w:t>Type</w:t>
      </w:r>
      <w:proofErr w:type="spellEnd"/>
      <w:r w:rsidR="00212521" w:rsidRPr="003C3F6E">
        <w:rPr>
          <w:rFonts w:ascii="Times" w:hAnsi="Times" w:cs="Times"/>
          <w:color w:val="000000"/>
          <w:sz w:val="26"/>
          <w:szCs w:val="26"/>
        </w:rPr>
        <w:t>, oppure si può tener conto delle dipendenze tra i vari rischi operativi.</w:t>
      </w:r>
    </w:p>
    <w:p w14:paraId="45B519CB" w14:textId="0DB9DDFC" w:rsidR="001302A8"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Risk</w:t>
      </w:r>
      <w:proofErr w:type="spellEnd"/>
      <w:r w:rsidRPr="003C3F6E">
        <w:rPr>
          <w:rFonts w:ascii="Times New Roman" w:hAnsi="Times New Roman" w:cs="Times New Roman"/>
          <w:color w:val="000000"/>
          <w:sz w:val="26"/>
          <w:szCs w:val="26"/>
        </w:rPr>
        <w:t xml:space="preserve">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221552B0"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Risk</w:t>
      </w:r>
      <w:proofErr w:type="spellEnd"/>
      <w:r w:rsidRPr="003C3F6E">
        <w:rPr>
          <w:rFonts w:ascii="Times New Roman" w:hAnsi="Times New Roman" w:cs="Times New Roman"/>
          <w:color w:val="000000"/>
          <w:sz w:val="26"/>
          <w:szCs w:val="26"/>
        </w:rPr>
        <w:t xml:space="preserve"> totale tenendo in considerazione di eventuali effetti mitigatori della diversificazione di capitale;</w:t>
      </w:r>
    </w:p>
    <w:p w14:paraId="2711E176" w14:textId="3F98833D"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Risk</w:t>
      </w:r>
      <w:proofErr w:type="spellEnd"/>
      <w:r w:rsidRPr="003C3F6E">
        <w:rPr>
          <w:rFonts w:ascii="Times New Roman" w:hAnsi="Times New Roman" w:cs="Times New Roman"/>
          <w:color w:val="000000"/>
          <w:sz w:val="26"/>
          <w:szCs w:val="26"/>
        </w:rPr>
        <w:t xml:space="preserve"> aggregato a ciascun eventi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58EF8FA4" w14:textId="1F383B6F" w:rsidR="002C4CE3"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0B2FD6">
      <w:pPr>
        <w:pStyle w:val="Titolo1"/>
      </w:pPr>
      <w:bookmarkStart w:id="9" w:name="_Toc512422411"/>
      <w:r w:rsidRPr="009D0077">
        <w:lastRenderedPageBreak/>
        <w:t>DEFINIZIONE DELLE DISTRIBUZIONI DI FREQUENCY E SEVERITY</w:t>
      </w:r>
      <w:bookmarkEnd w:id="9"/>
    </w:p>
    <w:p w14:paraId="19414FF4" w14:textId="2EAC5C4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 I dati necessari all’analisi del rischio 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Potrebbero essere registrate perdite solo sopra una determinata soglia. 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6F9B3215" w:rsidR="00111758" w:rsidRPr="00D25619"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Pr="00D25619">
        <w:rPr>
          <w:rFonts w:ascii="Times New Roman" w:hAnsi="Times New Roman" w:cs="Times New Roman"/>
          <w:color w:val="000000"/>
          <w:sz w:val="26"/>
          <w:szCs w:val="26"/>
        </w:rPr>
        <w:t>Loss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w:t>
      </w:r>
      <w:proofErr w:type="gramStart"/>
      <w:r w:rsidRPr="00D25619">
        <w:rPr>
          <w:rFonts w:ascii="Times New Roman" w:hAnsi="Times New Roman" w:cs="Times New Roman"/>
          <w:color w:val="000000"/>
          <w:sz w:val="26"/>
          <w:szCs w:val="26"/>
        </w:rPr>
        <w:t>delle pdf</w:t>
      </w:r>
      <w:proofErr w:type="gramEnd"/>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In questa via si prenderà quale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vengono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p>
    <w:p w14:paraId="0B7F955B" w14:textId="77777777"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Per</w:t>
      </w:r>
      <w:r w:rsidR="009D0077" w:rsidRPr="00D25619">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quanto riguarda la distribuzione di </w:t>
      </w:r>
      <w:proofErr w:type="spellStart"/>
      <w:r w:rsidRPr="00D25619">
        <w:rPr>
          <w:rFonts w:ascii="Times New Roman" w:hAnsi="Times New Roman" w:cs="Times New Roman"/>
          <w:color w:val="000000"/>
          <w:sz w:val="26"/>
          <w:szCs w:val="26"/>
        </w:rPr>
        <w:t>frequency</w:t>
      </w:r>
      <w:proofErr w:type="spellEnd"/>
      <w:r w:rsidRPr="00D25619">
        <w:rPr>
          <w:rFonts w:ascii="Times New Roman" w:hAnsi="Times New Roman" w:cs="Times New Roman"/>
          <w:color w:val="000000"/>
          <w:sz w:val="26"/>
          <w:szCs w:val="26"/>
        </w:rPr>
        <w:t xml:space="preserve"> delle perdite, generalmente si usa</w:t>
      </w:r>
      <w:r w:rsidR="009D0077" w:rsidRPr="00D25619">
        <w:rPr>
          <w:rFonts w:ascii="Times New Roman" w:hAnsi="Times New Roman" w:cs="Times New Roman"/>
          <w:color w:val="000000"/>
          <w:sz w:val="26"/>
          <w:szCs w:val="26"/>
        </w:rPr>
        <w:t xml:space="preserve"> una variabile casuale con</w:t>
      </w:r>
      <w:r w:rsidRPr="00D25619">
        <w:rPr>
          <w:rFonts w:ascii="Times New Roman" w:hAnsi="Times New Roman" w:cs="Times New Roman"/>
          <w:color w:val="000000"/>
          <w:sz w:val="26"/>
          <w:szCs w:val="26"/>
        </w:rPr>
        <w:t xml:space="preserve"> distribuzione di </w:t>
      </w:r>
      <w:r w:rsidR="009D0077" w:rsidRPr="00D25619">
        <w:rPr>
          <w:rFonts w:ascii="Times New Roman" w:hAnsi="Times New Roman" w:cs="Times New Roman"/>
          <w:color w:val="000000"/>
          <w:sz w:val="26"/>
          <w:szCs w:val="26"/>
        </w:rPr>
        <w:t>P</w:t>
      </w:r>
      <w:r w:rsidRPr="00D25619">
        <w:rPr>
          <w:rFonts w:ascii="Times New Roman" w:hAnsi="Times New Roman" w:cs="Times New Roman"/>
          <w:color w:val="000000"/>
          <w:sz w:val="26"/>
          <w:szCs w:val="26"/>
        </w:rPr>
        <w:t>oisson</w:t>
      </w:r>
      <w:r w:rsidR="009D0077" w:rsidRPr="00D25619">
        <w:rPr>
          <w:rFonts w:ascii="Times New Roman" w:hAnsi="Times New Roman" w:cs="Times New Roman"/>
          <w:color w:val="000000"/>
          <w:sz w:val="26"/>
          <w:szCs w:val="26"/>
        </w:rPr>
        <w:t>.</w:t>
      </w:r>
      <w:r w:rsidR="00DE4AD8" w:rsidRPr="00D25619">
        <w:rPr>
          <w:rFonts w:ascii="Times New Roman" w:hAnsi="Times New Roman" w:cs="Times New Roman"/>
          <w:color w:val="000000"/>
          <w:sz w:val="26"/>
          <w:szCs w:val="26"/>
        </w:rPr>
        <w:t xml:space="preserve"> Il grafico rappresentato in 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empirica costruita a partire dalle osservazioni casuali tratte dalla distribuzione di Poisson con parametro λ=5;</w:t>
      </w:r>
    </w:p>
    <w:p w14:paraId="4B9197D6" w14:textId="3E37AFDA" w:rsidR="00DE4AD8"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79E0754F" w14:textId="7C0A0F2A" w:rsidR="005B2B00" w:rsidRDefault="005B2B00" w:rsidP="00DE4AD8">
      <w:pPr>
        <w:widowControl w:val="0"/>
        <w:autoSpaceDE w:val="0"/>
        <w:autoSpaceDN w:val="0"/>
        <w:adjustRightInd w:val="0"/>
        <w:spacing w:after="240" w:line="300" w:lineRule="atLeast"/>
        <w:jc w:val="center"/>
        <w:rPr>
          <w:rFonts w:ascii="Times" w:hAnsi="Times" w:cs="Times"/>
          <w:color w:val="000000"/>
          <w:sz w:val="26"/>
          <w:szCs w:val="26"/>
        </w:rPr>
      </w:pPr>
      <w:r w:rsidRPr="005B2B00">
        <w:rPr>
          <w:rFonts w:ascii="Times" w:hAnsi="Times" w:cs="Times"/>
          <w:noProof/>
          <w:color w:val="000000"/>
          <w:sz w:val="26"/>
          <w:szCs w:val="26"/>
          <w:lang w:eastAsia="it-IT"/>
        </w:rPr>
        <w:lastRenderedPageBreak/>
        <w:drawing>
          <wp:inline distT="0" distB="0" distL="0" distR="0" wp14:anchorId="0FCD98C3" wp14:editId="27442346">
            <wp:extent cx="5324475" cy="39909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EE06963" w14:textId="1F6DD76B"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3EDED60" w14:textId="029DF958"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tratte dalla distribuzione teorica stessa.</w:t>
      </w:r>
    </w:p>
    <w:p w14:paraId="2B4BB6DF" w14:textId="0C7DF5F3"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Se i quantili della distribuzione empirica non 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368C7B70" w14:textId="1F6E540C" w:rsidR="00774EFB" w:rsidRDefault="00DC6A0D" w:rsidP="00117E2A">
      <w:pPr>
        <w:pStyle w:val="Titolo1"/>
        <w:spacing w:line="276" w:lineRule="auto"/>
      </w:pPr>
      <w:bookmarkStart w:id="10" w:name="_Toc512422412"/>
      <w:bookmarkStart w:id="11" w:name="_Hlk512351014"/>
      <w:r>
        <w:lastRenderedPageBreak/>
        <w:t>BIBLIOGRAFIA</w:t>
      </w:r>
      <w:bookmarkEnd w:id="10"/>
    </w:p>
    <w:p w14:paraId="6449263B" w14:textId="77777777" w:rsidR="00FF2613" w:rsidRPr="00FF2613" w:rsidRDefault="00FF2613" w:rsidP="00FF2613"/>
    <w:p w14:paraId="71B5A3FA" w14:textId="60609B4A" w:rsidR="00735EFA" w:rsidRPr="00F2273F" w:rsidRDefault="00DC6A0D"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F2273F">
        <w:rPr>
          <w:rFonts w:ascii="Times" w:hAnsi="Times" w:cs="Times"/>
          <w:color w:val="000000"/>
          <w:sz w:val="26"/>
          <w:szCs w:val="26"/>
          <w:lang w:val="en-US"/>
        </w:rPr>
        <w:t xml:space="preserve">Loss Distribution Approach for operational risk, A. </w:t>
      </w:r>
      <w:proofErr w:type="spellStart"/>
      <w:r w:rsidRPr="00F2273F">
        <w:rPr>
          <w:rFonts w:ascii="Times" w:hAnsi="Times" w:cs="Times"/>
          <w:color w:val="000000"/>
          <w:sz w:val="26"/>
          <w:szCs w:val="26"/>
          <w:lang w:val="en-US"/>
        </w:rPr>
        <w:t>Frachot</w:t>
      </w:r>
      <w:proofErr w:type="spellEnd"/>
      <w:r w:rsidRPr="00F2273F">
        <w:rPr>
          <w:rFonts w:ascii="Times" w:hAnsi="Times" w:cs="Times"/>
          <w:color w:val="000000"/>
          <w:sz w:val="26"/>
          <w:szCs w:val="26"/>
          <w:lang w:val="en-US"/>
        </w:rPr>
        <w:t xml:space="preserve">, P. Georges &amp; T. </w:t>
      </w:r>
      <w:proofErr w:type="spellStart"/>
      <w:r w:rsidRPr="00F2273F">
        <w:rPr>
          <w:rFonts w:ascii="Times" w:hAnsi="Times" w:cs="Times"/>
          <w:color w:val="000000"/>
          <w:sz w:val="26"/>
          <w:szCs w:val="26"/>
          <w:lang w:val="en-US"/>
        </w:rPr>
        <w:t>Roncalliy</w:t>
      </w:r>
      <w:proofErr w:type="spellEnd"/>
      <w:r w:rsidRPr="00F2273F">
        <w:rPr>
          <w:rFonts w:ascii="Times" w:hAnsi="Times" w:cs="Times"/>
          <w:color w:val="000000"/>
          <w:sz w:val="26"/>
          <w:szCs w:val="26"/>
          <w:lang w:val="en-US"/>
        </w:rPr>
        <w:t xml:space="preserve">, </w:t>
      </w:r>
      <w:proofErr w:type="spellStart"/>
      <w:r w:rsidRPr="00F2273F">
        <w:rPr>
          <w:rFonts w:ascii="Times" w:hAnsi="Times" w:cs="Times"/>
          <w:color w:val="000000"/>
          <w:sz w:val="26"/>
          <w:szCs w:val="26"/>
          <w:lang w:val="en-US"/>
        </w:rPr>
        <w:t>Groupe</w:t>
      </w:r>
      <w:proofErr w:type="spellEnd"/>
      <w:r w:rsidRPr="00F2273F">
        <w:rPr>
          <w:rFonts w:ascii="Times" w:hAnsi="Times" w:cs="Times"/>
          <w:color w:val="000000"/>
          <w:sz w:val="26"/>
          <w:szCs w:val="26"/>
          <w:lang w:val="en-US"/>
        </w:rPr>
        <w:t xml:space="preserve"> de </w:t>
      </w:r>
      <w:proofErr w:type="spellStart"/>
      <w:r w:rsidRPr="00F2273F">
        <w:rPr>
          <w:rFonts w:ascii="Times" w:hAnsi="Times" w:cs="Times"/>
          <w:color w:val="000000"/>
          <w:sz w:val="26"/>
          <w:szCs w:val="26"/>
          <w:lang w:val="en-US"/>
        </w:rPr>
        <w:t>Recherche</w:t>
      </w:r>
      <w:proofErr w:type="spellEnd"/>
      <w:r w:rsidRPr="00F2273F">
        <w:rPr>
          <w:rFonts w:ascii="Times" w:hAnsi="Times" w:cs="Times"/>
          <w:color w:val="000000"/>
          <w:sz w:val="26"/>
          <w:szCs w:val="26"/>
          <w:lang w:val="en-US"/>
        </w:rPr>
        <w:t xml:space="preserve"> </w:t>
      </w:r>
      <w:proofErr w:type="spellStart"/>
      <w:r w:rsidRPr="00F2273F">
        <w:rPr>
          <w:rFonts w:ascii="Times" w:hAnsi="Times" w:cs="Times"/>
          <w:color w:val="000000"/>
          <w:sz w:val="26"/>
          <w:szCs w:val="26"/>
          <w:lang w:val="en-US"/>
        </w:rPr>
        <w:t>Operationnelle</w:t>
      </w:r>
      <w:proofErr w:type="spellEnd"/>
      <w:r w:rsidRPr="00F2273F">
        <w:rPr>
          <w:rFonts w:ascii="Times" w:hAnsi="Times" w:cs="Times"/>
          <w:color w:val="000000"/>
          <w:sz w:val="26"/>
          <w:szCs w:val="26"/>
          <w:lang w:val="en-US"/>
        </w:rPr>
        <w:t>, Credit Lyonnais, France</w:t>
      </w:r>
      <w:r w:rsidR="00735EFA" w:rsidRPr="00F2273F">
        <w:rPr>
          <w:rFonts w:ascii="Times" w:hAnsi="Times" w:cs="Times"/>
          <w:color w:val="000000"/>
          <w:sz w:val="26"/>
          <w:szCs w:val="26"/>
          <w:lang w:val="en-US"/>
        </w:rPr>
        <w:t xml:space="preserve"> </w:t>
      </w:r>
    </w:p>
    <w:p w14:paraId="723C4F17" w14:textId="2CB768EB" w:rsidR="00735EFA" w:rsidRPr="00CE5EEC" w:rsidRDefault="00735EFA"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18"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19"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0"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11"/>
    </w:p>
    <w:p w14:paraId="20D10044" w14:textId="062CC97B" w:rsidR="00117E2A" w:rsidRPr="00CE5EEC" w:rsidRDefault="00117E2A" w:rsidP="00D25619">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1"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22"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D25619">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23"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24"/>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8E8AF" w14:textId="77777777" w:rsidR="0098369B" w:rsidRDefault="0098369B" w:rsidP="009573ED">
      <w:r>
        <w:separator/>
      </w:r>
    </w:p>
  </w:endnote>
  <w:endnote w:type="continuationSeparator" w:id="0">
    <w:p w14:paraId="0F57F801" w14:textId="77777777" w:rsidR="0098369B" w:rsidRDefault="0098369B"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81701"/>
      <w:docPartObj>
        <w:docPartGallery w:val="Page Numbers (Bottom of Page)"/>
        <w:docPartUnique/>
      </w:docPartObj>
    </w:sdtPr>
    <w:sdtEndPr/>
    <w:sdtContent>
      <w:p w14:paraId="4EE8F253" w14:textId="6A753052" w:rsidR="009573ED" w:rsidRDefault="009573ED">
        <w:pPr>
          <w:pStyle w:val="Pidipagina"/>
          <w:jc w:val="center"/>
        </w:pPr>
        <w:r>
          <w:fldChar w:fldCharType="begin"/>
        </w:r>
        <w:r>
          <w:instrText>PAGE   \* MERGEFORMAT</w:instrText>
        </w:r>
        <w:r>
          <w:fldChar w:fldCharType="separate"/>
        </w:r>
        <w:r w:rsidR="00D06A87">
          <w:rPr>
            <w:noProof/>
          </w:rPr>
          <w:t>10</w:t>
        </w:r>
        <w:r>
          <w:fldChar w:fldCharType="end"/>
        </w:r>
      </w:p>
    </w:sdtContent>
  </w:sdt>
  <w:p w14:paraId="0639E757" w14:textId="77777777" w:rsidR="009573ED" w:rsidRDefault="009573ED">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A5D0B" w14:textId="77777777" w:rsidR="0098369B" w:rsidRDefault="0098369B" w:rsidP="009573ED">
      <w:r>
        <w:separator/>
      </w:r>
    </w:p>
  </w:footnote>
  <w:footnote w:type="continuationSeparator" w:id="0">
    <w:p w14:paraId="0ED2E812" w14:textId="77777777" w:rsidR="0098369B" w:rsidRDefault="0098369B" w:rsidP="009573ED">
      <w:r>
        <w:continuationSeparator/>
      </w:r>
    </w:p>
  </w:footnote>
  <w:footnote w:id="1">
    <w:p w14:paraId="61906B6E" w14:textId="48677564" w:rsidR="00025C85" w:rsidRDefault="00025C85">
      <w:pPr>
        <w:pStyle w:val="Testonotaapidipagina"/>
      </w:pPr>
      <w:r>
        <w:rPr>
          <w:rStyle w:val="Rimandonotaapidipagina"/>
        </w:rPr>
        <w:footnoteRef/>
      </w:r>
      <w:r>
        <w:t xml:space="preserve"> Fonti</w:t>
      </w:r>
      <w:bookmarkStart w:id="1"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025C85" w:rsidRPr="00CE5EEC" w:rsidRDefault="00025C85">
      <w:pPr>
        <w:pStyle w:val="Testonotaapidipagina"/>
        <w:rPr>
          <w:lang w:val="en-US"/>
        </w:rPr>
      </w:pPr>
      <w:r>
        <w:rPr>
          <w:rStyle w:val="Rimandonotaapidipagina"/>
        </w:rPr>
        <w:footnoteRef/>
      </w:r>
      <w:r>
        <w:t xml:space="preserve"> </w:t>
      </w:r>
      <w:r w:rsidR="00B12A1C" w:rsidRPr="00B12A1C">
        <w:t xml:space="preserve">Fonti: Tesi di Laurea Magistrale in Economia e Finanza dell’Università Ca’ </w:t>
      </w:r>
      <w:proofErr w:type="spellStart"/>
      <w:r w:rsidR="00B12A1C" w:rsidRPr="00B12A1C">
        <w:t>Foscari</w:t>
      </w:r>
      <w:proofErr w:type="spellEnd"/>
      <w:r w:rsidR="00B12A1C" w:rsidRPr="00B12A1C">
        <w:t xml:space="preserve"> di Venezia del Dott. Giacomo </w:t>
      </w:r>
      <w:proofErr w:type="spellStart"/>
      <w:r w:rsidR="00B12A1C" w:rsidRPr="00B12A1C">
        <w:t>Fasiolo</w:t>
      </w:r>
      <w:proofErr w:type="spellEnd"/>
      <w:r w:rsidR="00B12A1C" w:rsidRPr="00B12A1C">
        <w:t xml:space="preserve"> Tozzo. </w:t>
      </w:r>
      <w:r w:rsidR="00B12A1C" w:rsidRPr="00CE5EEC">
        <w:rPr>
          <w:lang w:val="en-US"/>
        </w:rPr>
        <w:t>I rischi operativi. A. a. 2014 – 2015.</w:t>
      </w:r>
    </w:p>
  </w:footnote>
  <w:footnote w:id="3">
    <w:p w14:paraId="6C03A144" w14:textId="0128A364" w:rsidR="001A4E58" w:rsidRPr="00CE5EEC" w:rsidRDefault="001A4E58">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4">
    <w:p w14:paraId="1802CC89" w14:textId="5F7834FB" w:rsidR="001A4E58" w:rsidRDefault="001A4E58">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1A4E58" w:rsidRDefault="001A4E58">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w:t>
      </w:r>
      <w:proofErr w:type="spellStart"/>
      <w:r w:rsidRPr="001A4E58">
        <w:t>risk</w:t>
      </w:r>
      <w:proofErr w:type="spellEnd"/>
      <w:r w:rsidRPr="001A4E58">
        <w:t xml:space="preserve">,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1A4E58" w:rsidRDefault="001A4E58">
      <w:pPr>
        <w:pStyle w:val="Testonotaapidipagina"/>
      </w:pPr>
      <w:bookmarkStart w:id="3" w:name="_Hlk512420442"/>
      <w:r>
        <w:rPr>
          <w:rStyle w:val="Rimandonotaapidipagina"/>
        </w:rPr>
        <w:footnoteRef/>
      </w:r>
      <w:r>
        <w:t xml:space="preserve"> </w:t>
      </w:r>
      <w:bookmarkEnd w:id="3"/>
      <w:r w:rsidR="00B12A1C">
        <w:t xml:space="preserve"> </w:t>
      </w:r>
      <w:r w:rsidR="00B12A1C" w:rsidRPr="00B12A1C">
        <w:t xml:space="preserve">Fonti: Tesi di Laurea Magistrale in Economia e Finanza dell’Università Ca’ </w:t>
      </w:r>
      <w:proofErr w:type="spellStart"/>
      <w:r w:rsidR="00B12A1C" w:rsidRPr="00B12A1C">
        <w:t>Foscari</w:t>
      </w:r>
      <w:proofErr w:type="spellEnd"/>
      <w:r w:rsidR="00B12A1C" w:rsidRPr="00B12A1C">
        <w:t xml:space="preserve"> di Venezia del Dott. Giacomo </w:t>
      </w:r>
      <w:proofErr w:type="spellStart"/>
      <w:r w:rsidR="00B12A1C" w:rsidRPr="00B12A1C">
        <w:t>Fasiolo</w:t>
      </w:r>
      <w:proofErr w:type="spellEnd"/>
      <w:r w:rsidR="00B12A1C" w:rsidRPr="00B12A1C">
        <w:t xml:space="preserve"> Tozzo. I rischi operativi. A. a. 2014 – 2015.</w:t>
      </w:r>
      <w:r w:rsidRPr="001A4E58">
        <w:t>Riferimento preso fino alla definizione dell’art 101 Direttiva 2009/139/CE.</w:t>
      </w:r>
    </w:p>
  </w:footnote>
  <w:footnote w:id="7">
    <w:p w14:paraId="289D63D4" w14:textId="534ABEA1" w:rsidR="001A4E58" w:rsidRPr="00CE5EEC" w:rsidRDefault="001A4E58">
      <w:pPr>
        <w:pStyle w:val="Testonotaapidipagina"/>
        <w:rPr>
          <w:lang w:val="en-US"/>
        </w:rPr>
      </w:pPr>
      <w:r>
        <w:rPr>
          <w:rStyle w:val="Rimandonotaapidipagina"/>
        </w:rPr>
        <w:footnoteRef/>
      </w:r>
      <w:r>
        <w:t xml:space="preserve"> Presentazione PPT della Prof.sa Damiana Costanzo dell’Università degli Studi della Calabria</w:t>
      </w:r>
      <w:r w:rsidR="00025C1B">
        <w:t xml:space="preserve">. </w:t>
      </w:r>
      <w:r w:rsidR="00025C1B" w:rsidRPr="00CE5EEC">
        <w:rPr>
          <w:lang w:val="en-US"/>
        </w:rPr>
        <w:t xml:space="preserve">Link web: </w:t>
      </w:r>
      <w:r w:rsidRPr="00CE5EEC">
        <w:rPr>
          <w:lang w:val="en-US"/>
        </w:rPr>
        <w:t xml:space="preserve"> </w:t>
      </w:r>
      <w:r w:rsidR="0098369B">
        <w:fldChar w:fldCharType="begin"/>
      </w:r>
      <w:r w:rsidR="0098369B" w:rsidRPr="00CE5EEC">
        <w:rPr>
          <w:lang w:val="en-US"/>
        </w:rPr>
        <w:instrText xml:space="preserve"> HYPERLINK "http://www.ecostat.unical.it/Costanzo/Didattica/Probabilit%C3%A0%20ed%20Inferenza%20Statistica/lucidi_10.pdf" </w:instrText>
      </w:r>
      <w:r w:rsidR="0098369B">
        <w:fldChar w:fldCharType="separate"/>
      </w:r>
      <w:r w:rsidR="00025C1B" w:rsidRPr="00CE5EEC">
        <w:rPr>
          <w:rStyle w:val="Collegamentoipertestuale"/>
          <w:lang w:val="en-US"/>
        </w:rPr>
        <w:t>http://www.ecostat.unical.it/Costanzo/Didattica/Probabilit%C3%A0%20ed%20Inferenza%20Statistica/lucidi_10.pdf</w:t>
      </w:r>
      <w:r w:rsidR="0098369B">
        <w:rPr>
          <w:rStyle w:val="Collegamentoipertestuale"/>
        </w:rPr>
        <w:fldChar w:fldCharType="end"/>
      </w:r>
      <w:r w:rsidR="00025C1B" w:rsidRPr="00CE5EEC">
        <w:rPr>
          <w:lang w:val="en-US"/>
        </w:rPr>
        <w:t xml:space="preserve"> .</w:t>
      </w:r>
    </w:p>
  </w:footnote>
  <w:footnote w:id="8">
    <w:p w14:paraId="40DAD159" w14:textId="362F3BD1" w:rsidR="00025C1B" w:rsidRDefault="00025C1B"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w:t>
      </w:r>
      <w:r w:rsidR="00D93845">
        <w:t xml:space="preserve"> </w:t>
      </w:r>
      <w:r>
        <w:t>degli Studi di Padova. Modelli Probabilistici.</w:t>
      </w:r>
    </w:p>
  </w:footnote>
  <w:footnote w:id="9">
    <w:p w14:paraId="02FBF1E0" w14:textId="39ED7456" w:rsidR="00D93845" w:rsidRDefault="00D93845">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D93845" w:rsidRDefault="00D93845">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117E2A" w:rsidRPr="00CE5EEC" w:rsidRDefault="00117E2A">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I rischi operativi. A. a. 2014 – 2015.</w:t>
      </w:r>
    </w:p>
  </w:footnote>
  <w:footnote w:id="12">
    <w:p w14:paraId="3EB74866" w14:textId="028F0187" w:rsidR="00117E2A" w:rsidRPr="00CE5EEC" w:rsidRDefault="00117E2A">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13">
    <w:p w14:paraId="255CD002" w14:textId="11045E1D" w:rsidR="00117E2A" w:rsidRPr="00CE5EEC" w:rsidRDefault="00117E2A">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14">
    <w:p w14:paraId="2FDD4EA2" w14:textId="2922EDC3" w:rsidR="00117E2A" w:rsidRDefault="00117E2A">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0"/>
  </w:num>
  <w:num w:numId="5">
    <w:abstractNumId w:val="8"/>
  </w:num>
  <w:num w:numId="6">
    <w:abstractNumId w:val="9"/>
  </w:num>
  <w:num w:numId="7">
    <w:abstractNumId w:val="2"/>
  </w:num>
  <w:num w:numId="8">
    <w:abstractNumId w:val="3"/>
  </w:num>
  <w:num w:numId="9">
    <w:abstractNumId w:val="15"/>
  </w:num>
  <w:num w:numId="10">
    <w:abstractNumId w:val="6"/>
  </w:num>
  <w:num w:numId="11">
    <w:abstractNumId w:val="12"/>
  </w:num>
  <w:num w:numId="12">
    <w:abstractNumId w:val="5"/>
  </w:num>
  <w:num w:numId="13">
    <w:abstractNumId w:val="13"/>
  </w:num>
  <w:num w:numId="14">
    <w:abstractNumId w:val="1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25C1B"/>
    <w:rsid w:val="00025C85"/>
    <w:rsid w:val="00032DE1"/>
    <w:rsid w:val="0003658C"/>
    <w:rsid w:val="00044A43"/>
    <w:rsid w:val="0005376F"/>
    <w:rsid w:val="00055EAB"/>
    <w:rsid w:val="0006411C"/>
    <w:rsid w:val="00087654"/>
    <w:rsid w:val="000B2FD6"/>
    <w:rsid w:val="000B4017"/>
    <w:rsid w:val="000B7C7C"/>
    <w:rsid w:val="00111758"/>
    <w:rsid w:val="00117E2A"/>
    <w:rsid w:val="001302A8"/>
    <w:rsid w:val="0013046A"/>
    <w:rsid w:val="001617FD"/>
    <w:rsid w:val="001A4E58"/>
    <w:rsid w:val="00201020"/>
    <w:rsid w:val="00212521"/>
    <w:rsid w:val="0023702F"/>
    <w:rsid w:val="00265EE4"/>
    <w:rsid w:val="002924E9"/>
    <w:rsid w:val="002C4CE3"/>
    <w:rsid w:val="002D4811"/>
    <w:rsid w:val="00343512"/>
    <w:rsid w:val="00351AEB"/>
    <w:rsid w:val="003A2C5E"/>
    <w:rsid w:val="003C3F6E"/>
    <w:rsid w:val="00430C6B"/>
    <w:rsid w:val="00442FA0"/>
    <w:rsid w:val="004455E5"/>
    <w:rsid w:val="00490D9F"/>
    <w:rsid w:val="004A0C6F"/>
    <w:rsid w:val="0051267E"/>
    <w:rsid w:val="00545E98"/>
    <w:rsid w:val="00565A2F"/>
    <w:rsid w:val="0056632C"/>
    <w:rsid w:val="005756D7"/>
    <w:rsid w:val="005B2B00"/>
    <w:rsid w:val="006E3CBF"/>
    <w:rsid w:val="007073DC"/>
    <w:rsid w:val="00710E09"/>
    <w:rsid w:val="00735EFA"/>
    <w:rsid w:val="007A2A90"/>
    <w:rsid w:val="0086012B"/>
    <w:rsid w:val="00893559"/>
    <w:rsid w:val="008C081B"/>
    <w:rsid w:val="00914CD4"/>
    <w:rsid w:val="00921D36"/>
    <w:rsid w:val="00935F9D"/>
    <w:rsid w:val="009573ED"/>
    <w:rsid w:val="009804A8"/>
    <w:rsid w:val="0098369B"/>
    <w:rsid w:val="009D0077"/>
    <w:rsid w:val="00A6074B"/>
    <w:rsid w:val="00A92A6B"/>
    <w:rsid w:val="00B05D59"/>
    <w:rsid w:val="00B12A1C"/>
    <w:rsid w:val="00B407CB"/>
    <w:rsid w:val="00B56257"/>
    <w:rsid w:val="00B845EE"/>
    <w:rsid w:val="00BB564F"/>
    <w:rsid w:val="00C0682C"/>
    <w:rsid w:val="00C44EF5"/>
    <w:rsid w:val="00C50E62"/>
    <w:rsid w:val="00CB796B"/>
    <w:rsid w:val="00CD608A"/>
    <w:rsid w:val="00CE1478"/>
    <w:rsid w:val="00CE5EEC"/>
    <w:rsid w:val="00D06A87"/>
    <w:rsid w:val="00D14A45"/>
    <w:rsid w:val="00D25619"/>
    <w:rsid w:val="00D507D6"/>
    <w:rsid w:val="00D54162"/>
    <w:rsid w:val="00D901D6"/>
    <w:rsid w:val="00D93845"/>
    <w:rsid w:val="00D963AD"/>
    <w:rsid w:val="00DC47C4"/>
    <w:rsid w:val="00DC6A0D"/>
    <w:rsid w:val="00DE4AD8"/>
    <w:rsid w:val="00E066B4"/>
    <w:rsid w:val="00E43EF4"/>
    <w:rsid w:val="00E8621A"/>
    <w:rsid w:val="00ED722B"/>
    <w:rsid w:val="00EF0E53"/>
    <w:rsid w:val="00F2273F"/>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UnresolvedMention">
    <w:name w:val="Unresolved Mention"/>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semiHidden/>
    <w:unhideWhenUsed/>
    <w:rsid w:val="0002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mat.uniroma3.it/didattica_interattiva/aa_-02_03/st1/lez5.pdf" TargetMode="External"/><Relationship Id="rId21" Type="http://schemas.openxmlformats.org/officeDocument/2006/relationships/hyperlink" Target="http://dspace.unive.it/bitstream/handle/10579/6862/832502-1190252.pdf?sequence=2" TargetMode="External"/><Relationship Id="rId22" Type="http://schemas.openxmlformats.org/officeDocument/2006/relationships/hyperlink" Target="http://www.ecostat.unical.it/Costanzo/Didattica/Probabilit%C3%A0%20ed%20-Inferenza%20Statistica/lucidi_10.pdf" TargetMode="External"/><Relationship Id="rId23" Type="http://schemas.openxmlformats.org/officeDocument/2006/relationships/hyperlink" Target="http://static.gest.unipd.it/~livio/PDF/PDF_CIVILE/Modelli%20probabilistici.pdf"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jpg"/><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hyperlink" Target="http://slideplayer.it/slide/537049/" TargetMode="External"/><Relationship Id="rId19" Type="http://schemas.openxmlformats.org/officeDocument/2006/relationships/hyperlink" Target="http://docplayer.it/35191968-Il-calcolo-del-var-operativo-mediante-la-metodologia-stocastica-parametrica-simona-cosm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72C9-73FB-014D-B1B3-C6AC3414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20</Pages>
  <Words>4050</Words>
  <Characters>23086</Characters>
  <Application>Microsoft Macintosh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stefano zampiero</cp:lastModifiedBy>
  <cp:revision>17</cp:revision>
  <dcterms:created xsi:type="dcterms:W3CDTF">2018-04-23T13:31:00Z</dcterms:created>
  <dcterms:modified xsi:type="dcterms:W3CDTF">2018-04-30T09:06:00Z</dcterms:modified>
</cp:coreProperties>
</file>