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357" w:rsidRPr="00CD2357" w:rsidRDefault="00CD2357">
      <w:pPr>
        <w:rPr>
          <w:b/>
        </w:rPr>
      </w:pPr>
      <w:r w:rsidRPr="00CD2357">
        <w:rPr>
          <w:b/>
        </w:rPr>
        <w:t>INTRODUZIONE</w:t>
      </w:r>
    </w:p>
    <w:p w:rsidR="00723893" w:rsidRDefault="00723893" w:rsidP="00C40860">
      <w:pPr>
        <w:jc w:val="both"/>
      </w:pPr>
      <w:r>
        <w:t xml:space="preserve">Nel 1999 il Comitato di Basilea sottolineò l’importanza di controllare rischi diversi da quelli di mercato e di credito. Si riteneva fondamentale il perseguimento di un più generale obiettivo di prudente gestione, da realizzare principalmente per mezzo di una struttura di controlli interni. </w:t>
      </w:r>
    </w:p>
    <w:p w:rsidR="004F4312" w:rsidRDefault="00723893" w:rsidP="00C40860">
      <w:pPr>
        <w:jc w:val="both"/>
      </w:pPr>
      <w:r>
        <w:t>I rischi operativi devono essere gestiti e monitorati indipendentemente da prescrizioni e condizionamenti di vigilanza. La gestione e il monitoring dei rischi operativi non si può limitare al solo adempimento degli obblighi normativi.</w:t>
      </w:r>
    </w:p>
    <w:p w:rsidR="00723893" w:rsidRDefault="00723893" w:rsidP="00C40860">
      <w:pPr>
        <w:jc w:val="both"/>
      </w:pPr>
      <w:r>
        <w:t xml:space="preserve">Il Comitato di Basilea definisce il rischio operativo come rischio di perdite conseguite a inadeguati processi interni, errori umani, carenze nei sistemi operativi o a causa di eventi esterni. </w:t>
      </w:r>
      <w:proofErr w:type="spellStart"/>
      <w:r>
        <w:t>Working</w:t>
      </w:r>
      <w:proofErr w:type="spellEnd"/>
      <w:r>
        <w:t xml:space="preserve"> </w:t>
      </w:r>
      <w:proofErr w:type="spellStart"/>
      <w:r>
        <w:t>paper</w:t>
      </w:r>
      <w:proofErr w:type="spellEnd"/>
      <w:r>
        <w:t xml:space="preserve"> settembre 2001 –  Comitato di Basilea. Lo stesso Comitato prevede anche che: ogni banca, nel quadro di una visione integrata e coordinata del risk management, debba maturare una definizione interna di rischi operativi, in funzione del proprio business e dei propri requisiti organizzativi.</w:t>
      </w:r>
    </w:p>
    <w:p w:rsidR="00723893" w:rsidRDefault="00723893" w:rsidP="00C40860">
      <w:pPr>
        <w:jc w:val="both"/>
      </w:pPr>
      <w:r>
        <w:t>I rischi operativi provengono da:</w:t>
      </w:r>
    </w:p>
    <w:p w:rsidR="00723893" w:rsidRDefault="00723893" w:rsidP="00C40860">
      <w:pPr>
        <w:pStyle w:val="Paragrafoelenco"/>
        <w:numPr>
          <w:ilvl w:val="0"/>
          <w:numId w:val="1"/>
        </w:numPr>
        <w:jc w:val="both"/>
      </w:pPr>
      <w:r w:rsidRPr="008568AA">
        <w:rPr>
          <w:b/>
        </w:rPr>
        <w:t>Processi interni:</w:t>
      </w:r>
      <w:r>
        <w:t xml:space="preserve"> - definizione di ruoli e responsabilità; - formazione di procedure; - definizione di modelli e metodologie per il monitoring e controllo dei rischi; - </w:t>
      </w:r>
      <w:proofErr w:type="spellStart"/>
      <w:r>
        <w:t>reputational</w:t>
      </w:r>
      <w:proofErr w:type="spellEnd"/>
      <w:r>
        <w:t xml:space="preserve"> risk;</w:t>
      </w:r>
    </w:p>
    <w:p w:rsidR="00723893" w:rsidRDefault="00723893" w:rsidP="00C40860">
      <w:pPr>
        <w:pStyle w:val="Paragrafoelenco"/>
        <w:numPr>
          <w:ilvl w:val="0"/>
          <w:numId w:val="1"/>
        </w:numPr>
        <w:jc w:val="both"/>
      </w:pPr>
      <w:r w:rsidRPr="008568AA">
        <w:rPr>
          <w:b/>
        </w:rPr>
        <w:t>Risorse umane:</w:t>
      </w:r>
      <w:r>
        <w:t xml:space="preserve"> - incompetenza, negligenza, inadempimenti ad obblighi contrattuali</w:t>
      </w:r>
      <w:r w:rsidR="008568AA">
        <w:t xml:space="preserve">; - decisioni manageriali disinformate, </w:t>
      </w:r>
      <w:proofErr w:type="gramStart"/>
      <w:r w:rsidR="008568AA">
        <w:t>… ;</w:t>
      </w:r>
      <w:proofErr w:type="gramEnd"/>
    </w:p>
    <w:p w:rsidR="008568AA" w:rsidRDefault="008568AA" w:rsidP="00C40860">
      <w:pPr>
        <w:pStyle w:val="Paragrafoelenco"/>
        <w:numPr>
          <w:ilvl w:val="0"/>
          <w:numId w:val="1"/>
        </w:numPr>
        <w:jc w:val="both"/>
      </w:pPr>
      <w:r w:rsidRPr="008568AA">
        <w:rPr>
          <w:b/>
        </w:rPr>
        <w:t>Sistemi tecnologici:</w:t>
      </w:r>
      <w:r>
        <w:t xml:space="preserve"> - malfunzionamento di sistemi informativi; - errori di programmazione di applicazioni, ….</w:t>
      </w:r>
    </w:p>
    <w:p w:rsidR="008568AA" w:rsidRDefault="008568AA" w:rsidP="00C40860">
      <w:pPr>
        <w:pStyle w:val="Paragrafoelenco"/>
        <w:numPr>
          <w:ilvl w:val="0"/>
          <w:numId w:val="1"/>
        </w:numPr>
        <w:jc w:val="both"/>
      </w:pPr>
      <w:r w:rsidRPr="008568AA">
        <w:rPr>
          <w:b/>
        </w:rPr>
        <w:t>Fattori esterni:</w:t>
      </w:r>
      <w:r>
        <w:t xml:space="preserve"> attività criminali, eventi politici, militari e naturali, </w:t>
      </w:r>
      <w:proofErr w:type="gramStart"/>
      <w:r>
        <w:t>… .</w:t>
      </w:r>
      <w:proofErr w:type="gramEnd"/>
    </w:p>
    <w:p w:rsidR="008568AA" w:rsidRDefault="008568AA" w:rsidP="00C40860">
      <w:pPr>
        <w:jc w:val="both"/>
      </w:pPr>
      <w:r>
        <w:t>Il Comitato di Basilea ha previsto che il rischio operativo debba essere misurato e gestito con segmentazione dell’attività bancaria sulle diverse linee di business, secondo la seguente classificazione:</w:t>
      </w:r>
    </w:p>
    <w:p w:rsidR="008568AA" w:rsidRDefault="008568AA" w:rsidP="00C40860">
      <w:pPr>
        <w:pStyle w:val="Paragrafoelenco"/>
        <w:numPr>
          <w:ilvl w:val="0"/>
          <w:numId w:val="2"/>
        </w:numPr>
        <w:jc w:val="both"/>
      </w:pPr>
      <w:r>
        <w:t xml:space="preserve">Corporate </w:t>
      </w:r>
      <w:proofErr w:type="spellStart"/>
      <w:r>
        <w:t>finance</w:t>
      </w:r>
      <w:proofErr w:type="spellEnd"/>
      <w:r>
        <w:t>;</w:t>
      </w:r>
    </w:p>
    <w:p w:rsidR="008568AA" w:rsidRDefault="008568AA" w:rsidP="00C40860">
      <w:pPr>
        <w:pStyle w:val="Paragrafoelenco"/>
        <w:numPr>
          <w:ilvl w:val="0"/>
          <w:numId w:val="2"/>
        </w:numPr>
        <w:jc w:val="both"/>
      </w:pPr>
      <w:r>
        <w:t>Negoziazione e vendite;</w:t>
      </w:r>
    </w:p>
    <w:p w:rsidR="008568AA" w:rsidRDefault="008568AA" w:rsidP="00C40860">
      <w:pPr>
        <w:pStyle w:val="Paragrafoelenco"/>
        <w:numPr>
          <w:ilvl w:val="0"/>
          <w:numId w:val="2"/>
        </w:numPr>
        <w:jc w:val="both"/>
      </w:pPr>
      <w:r>
        <w:t>Retail banking;</w:t>
      </w:r>
    </w:p>
    <w:p w:rsidR="008568AA" w:rsidRDefault="008568AA" w:rsidP="00C40860">
      <w:pPr>
        <w:pStyle w:val="Paragrafoelenco"/>
        <w:numPr>
          <w:ilvl w:val="0"/>
          <w:numId w:val="2"/>
        </w:numPr>
        <w:jc w:val="both"/>
      </w:pPr>
      <w:r>
        <w:t>Commercial banking;</w:t>
      </w:r>
    </w:p>
    <w:p w:rsidR="008568AA" w:rsidRDefault="008568AA" w:rsidP="00C40860">
      <w:pPr>
        <w:pStyle w:val="Paragrafoelenco"/>
        <w:numPr>
          <w:ilvl w:val="0"/>
          <w:numId w:val="2"/>
        </w:numPr>
        <w:jc w:val="both"/>
      </w:pPr>
      <w:r>
        <w:t>Pagamenti e regolamenti;</w:t>
      </w:r>
    </w:p>
    <w:p w:rsidR="008568AA" w:rsidRDefault="008568AA" w:rsidP="00C40860">
      <w:pPr>
        <w:pStyle w:val="Paragrafoelenco"/>
        <w:numPr>
          <w:ilvl w:val="0"/>
          <w:numId w:val="2"/>
        </w:numPr>
        <w:jc w:val="both"/>
      </w:pPr>
      <w:r>
        <w:t>Gestioni fiduciarie;</w:t>
      </w:r>
    </w:p>
    <w:p w:rsidR="008568AA" w:rsidRDefault="008568AA" w:rsidP="00C40860">
      <w:pPr>
        <w:pStyle w:val="Paragrafoelenco"/>
        <w:numPr>
          <w:ilvl w:val="0"/>
          <w:numId w:val="2"/>
        </w:numPr>
        <w:jc w:val="both"/>
      </w:pPr>
      <w:r>
        <w:t>Asset management;</w:t>
      </w:r>
    </w:p>
    <w:p w:rsidR="008568AA" w:rsidRDefault="008568AA" w:rsidP="00C40860">
      <w:pPr>
        <w:pStyle w:val="Paragrafoelenco"/>
        <w:numPr>
          <w:ilvl w:val="0"/>
          <w:numId w:val="2"/>
        </w:numPr>
        <w:jc w:val="both"/>
      </w:pPr>
      <w:r>
        <w:t>Negoziazione al dettaglio.</w:t>
      </w:r>
    </w:p>
    <w:p w:rsidR="008568AA" w:rsidRDefault="008568AA" w:rsidP="00C40860">
      <w:pPr>
        <w:jc w:val="both"/>
      </w:pPr>
      <w:r>
        <w:t xml:space="preserve">Le perdite sono generate globalmente dall’intera struttura dell’attivo (impieghi, </w:t>
      </w:r>
      <w:proofErr w:type="spellStart"/>
      <w:r>
        <w:t>ptf</w:t>
      </w:r>
      <w:proofErr w:type="spellEnd"/>
      <w:r>
        <w:t xml:space="preserve"> di proprietà, macchine e immobili). La normativa di vigilanza Basilea 2 si occupa delle perdite estreme. Il requisito di capitale è la misura del rischio operativo che deve trovare copertura nel capitale di vigilanza debba banca. Non parliamo qui di perdite attese, le quali trovano già copertura mediante le rettifiche sull’utile di esercizio, esempi: accantonamenti a fondo svalutazione crediti o al fondo rischi su crediti.</w:t>
      </w:r>
    </w:p>
    <w:p w:rsidR="00A930B6" w:rsidRDefault="00A930B6" w:rsidP="00C40860">
      <w:pPr>
        <w:jc w:val="both"/>
      </w:pPr>
      <w:r>
        <w:t>La gestione dei rischi operativi si basa sullo sviluppo di due approcci:</w:t>
      </w:r>
    </w:p>
    <w:p w:rsidR="00A930B6" w:rsidRDefault="00A930B6" w:rsidP="00C40860">
      <w:pPr>
        <w:pStyle w:val="Paragrafoelenco"/>
        <w:numPr>
          <w:ilvl w:val="0"/>
          <w:numId w:val="3"/>
        </w:numPr>
        <w:jc w:val="both"/>
      </w:pPr>
      <w:r w:rsidRPr="00A930B6">
        <w:rPr>
          <w:b/>
        </w:rPr>
        <w:t>Qualitativo:</w:t>
      </w:r>
      <w:r>
        <w:t xml:space="preserve"> si riferisce a sistemi di controllo tesi </w:t>
      </w:r>
      <w:proofErr w:type="gramStart"/>
      <w:r>
        <w:t>ad</w:t>
      </w:r>
      <w:proofErr w:type="gramEnd"/>
      <w:r>
        <w:t xml:space="preserve"> identificare i principali eventi di rischio operativo a cui è esposta l’attività creditizia nei diversi processi e </w:t>
      </w:r>
      <w:proofErr w:type="spellStart"/>
      <w:r>
        <w:t>sottoprocessi</w:t>
      </w:r>
      <w:proofErr w:type="spellEnd"/>
      <w:r>
        <w:t xml:space="preserve"> e a prevedere una serie di presidi logici, fisici o incorporati nelle procedure che minimizzano la portata di tali eventi in termini di frequenza e gravità del danno economico che potrebbero provocare in caso di concreta manifestazione;</w:t>
      </w:r>
    </w:p>
    <w:p w:rsidR="00A930B6" w:rsidRDefault="00A930B6" w:rsidP="00C40860">
      <w:pPr>
        <w:pStyle w:val="Paragrafoelenco"/>
        <w:numPr>
          <w:ilvl w:val="0"/>
          <w:numId w:val="3"/>
        </w:numPr>
        <w:jc w:val="both"/>
      </w:pPr>
      <w:r w:rsidRPr="00A930B6">
        <w:rPr>
          <w:b/>
        </w:rPr>
        <w:t>Quantitativo:</w:t>
      </w:r>
      <w:r>
        <w:t xml:space="preserve"> si riferisce ad un’analisi per il controllo dei rischi operativi su basi </w:t>
      </w:r>
      <w:proofErr w:type="spellStart"/>
      <w:r>
        <w:t>stastico</w:t>
      </w:r>
      <w:proofErr w:type="spellEnd"/>
      <w:r>
        <w:t>-oggettive.</w:t>
      </w:r>
    </w:p>
    <w:p w:rsidR="00A930B6" w:rsidRDefault="00A930B6" w:rsidP="00C40860">
      <w:pPr>
        <w:jc w:val="both"/>
      </w:pPr>
      <w:r>
        <w:lastRenderedPageBreak/>
        <w:t>Il Comitato di Basilea ha proposto diverse metodologie per il trattamento prudenziale del rischio operativo, che sono:</w:t>
      </w:r>
    </w:p>
    <w:p w:rsidR="00A930B6" w:rsidRPr="00A930B6" w:rsidRDefault="00A930B6" w:rsidP="00C40860">
      <w:pPr>
        <w:pStyle w:val="Paragrafoelenco"/>
        <w:numPr>
          <w:ilvl w:val="0"/>
          <w:numId w:val="4"/>
        </w:numPr>
        <w:jc w:val="both"/>
        <w:rPr>
          <w:b/>
        </w:rPr>
      </w:pPr>
      <w:r w:rsidRPr="00A930B6">
        <w:rPr>
          <w:b/>
        </w:rPr>
        <w:t>Metodo dell’indicatore semplice;</w:t>
      </w:r>
    </w:p>
    <w:p w:rsidR="00A930B6" w:rsidRPr="00A930B6" w:rsidRDefault="00A930B6" w:rsidP="00C40860">
      <w:pPr>
        <w:pStyle w:val="Paragrafoelenco"/>
        <w:numPr>
          <w:ilvl w:val="0"/>
          <w:numId w:val="4"/>
        </w:numPr>
        <w:jc w:val="both"/>
        <w:rPr>
          <w:b/>
        </w:rPr>
      </w:pPr>
      <w:r w:rsidRPr="00A930B6">
        <w:rPr>
          <w:b/>
        </w:rPr>
        <w:t>Metodo standard;</w:t>
      </w:r>
    </w:p>
    <w:p w:rsidR="00A930B6" w:rsidRDefault="00A930B6" w:rsidP="00C40860">
      <w:pPr>
        <w:pStyle w:val="Paragrafoelenco"/>
        <w:numPr>
          <w:ilvl w:val="0"/>
          <w:numId w:val="4"/>
        </w:numPr>
        <w:jc w:val="both"/>
        <w:rPr>
          <w:b/>
        </w:rPr>
      </w:pPr>
      <w:r w:rsidRPr="00A930B6">
        <w:rPr>
          <w:b/>
        </w:rPr>
        <w:t>Metodi avanzati di misurazione.</w:t>
      </w:r>
    </w:p>
    <w:p w:rsidR="00A930B6" w:rsidRDefault="00A930B6" w:rsidP="00C40860">
      <w:pPr>
        <w:jc w:val="both"/>
      </w:pPr>
      <w:r>
        <w:t xml:space="preserve">Il metodo da noi studiato per l’analisi del rischio operativi è uno di quelli appartenenti </w:t>
      </w:r>
      <w:r w:rsidR="00CD2357">
        <w:t xml:space="preserve">alla famiglia dei metodi avanzati di misurazione ed è definito: </w:t>
      </w:r>
      <w:proofErr w:type="spellStart"/>
      <w:r w:rsidR="00CD2357" w:rsidRPr="00CD2357">
        <w:rPr>
          <w:b/>
        </w:rPr>
        <w:t>Loss</w:t>
      </w:r>
      <w:proofErr w:type="spellEnd"/>
      <w:r w:rsidR="00CD2357" w:rsidRPr="00CD2357">
        <w:rPr>
          <w:b/>
        </w:rPr>
        <w:t xml:space="preserve"> </w:t>
      </w:r>
      <w:proofErr w:type="spellStart"/>
      <w:r w:rsidR="00CD2357" w:rsidRPr="00CD2357">
        <w:rPr>
          <w:b/>
        </w:rPr>
        <w:t>distribution</w:t>
      </w:r>
      <w:proofErr w:type="spellEnd"/>
      <w:r w:rsidR="00CD2357" w:rsidRPr="00CD2357">
        <w:rPr>
          <w:b/>
        </w:rPr>
        <w:t xml:space="preserve"> </w:t>
      </w:r>
      <w:proofErr w:type="spellStart"/>
      <w:r w:rsidR="00CD2357" w:rsidRPr="00CD2357">
        <w:rPr>
          <w:b/>
        </w:rPr>
        <w:t>approach</w:t>
      </w:r>
      <w:proofErr w:type="spellEnd"/>
      <w:r w:rsidR="00CD2357" w:rsidRPr="00CD2357">
        <w:rPr>
          <w:b/>
        </w:rPr>
        <w:t>.</w:t>
      </w:r>
      <w:r>
        <w:t xml:space="preserve"> </w:t>
      </w:r>
    </w:p>
    <w:p w:rsidR="00CD2357" w:rsidRDefault="00CD2357" w:rsidP="00C40860">
      <w:pPr>
        <w:jc w:val="both"/>
        <w:rPr>
          <w:b/>
        </w:rPr>
      </w:pPr>
    </w:p>
    <w:p w:rsidR="00CD2357" w:rsidRDefault="00CD2357" w:rsidP="00C40860">
      <w:pPr>
        <w:jc w:val="both"/>
        <w:rPr>
          <w:b/>
        </w:rPr>
      </w:pPr>
      <w:r w:rsidRPr="00CD2357">
        <w:rPr>
          <w:b/>
        </w:rPr>
        <w:t>LOSS DISTRIBUTION APPROACH</w:t>
      </w:r>
    </w:p>
    <w:p w:rsidR="00CD2357" w:rsidRDefault="00CD2357" w:rsidP="00C40860">
      <w:pPr>
        <w:jc w:val="both"/>
      </w:pPr>
      <w:r>
        <w:t xml:space="preserve">Il LDA è il metodo statistico di calcolo considerato più avanzato tra quelli esemplificati come ammissibili dal Comitato di Basilea. L’approccio LDA è di tipo attuariale e due elementi fondamentali sono: la FREQUENZA (probabilità dell’evento) e la sua SEVERITY (impatto economico). Richiamando alla formula da noi usata per la simulazione abbiamo: </w:t>
      </w:r>
    </w:p>
    <w:p w:rsidR="00CD2357" w:rsidRDefault="00CD2357" w:rsidP="000B01C3">
      <w:pPr>
        <w:jc w:val="center"/>
      </w:pPr>
      <w:r w:rsidRPr="00CD2357">
        <w:rPr>
          <w:noProof/>
        </w:rPr>
        <w:drawing>
          <wp:inline distT="0" distB="0" distL="0" distR="0">
            <wp:extent cx="1059180" cy="739140"/>
            <wp:effectExtent l="0" t="0" r="762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9180" cy="739140"/>
                    </a:xfrm>
                    <a:prstGeom prst="rect">
                      <a:avLst/>
                    </a:prstGeom>
                    <a:noFill/>
                    <a:ln>
                      <a:noFill/>
                    </a:ln>
                  </pic:spPr>
                </pic:pic>
              </a:graphicData>
            </a:graphic>
          </wp:inline>
        </w:drawing>
      </w:r>
    </w:p>
    <w:p w:rsidR="00CD2357" w:rsidRDefault="00CD2357" w:rsidP="000B01C3">
      <w:pPr>
        <w:jc w:val="center"/>
      </w:pPr>
      <w:r w:rsidRPr="00CD2357">
        <w:rPr>
          <w:noProof/>
        </w:rPr>
        <w:drawing>
          <wp:inline distT="0" distB="0" distL="0" distR="0">
            <wp:extent cx="4869180" cy="243840"/>
            <wp:effectExtent l="0" t="0" r="762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9180" cy="243840"/>
                    </a:xfrm>
                    <a:prstGeom prst="rect">
                      <a:avLst/>
                    </a:prstGeom>
                    <a:noFill/>
                    <a:ln>
                      <a:noFill/>
                    </a:ln>
                  </pic:spPr>
                </pic:pic>
              </a:graphicData>
            </a:graphic>
          </wp:inline>
        </w:drawing>
      </w:r>
    </w:p>
    <w:p w:rsidR="00C40860" w:rsidRDefault="00CD2357" w:rsidP="00C40860">
      <w:pPr>
        <w:jc w:val="both"/>
      </w:pPr>
      <w:proofErr w:type="gramStart"/>
      <w:r>
        <w:t>L è</w:t>
      </w:r>
      <w:proofErr w:type="gramEnd"/>
      <w:r>
        <w:t xml:space="preserve"> considerata la perdita per il settore j-esimo della banca, K è il numero di eventi di perdita operativa e </w:t>
      </w:r>
      <w:proofErr w:type="spellStart"/>
      <w:r>
        <w:t>Xi</w:t>
      </w:r>
      <w:proofErr w:type="spellEnd"/>
      <w:r>
        <w:t xml:space="preserve"> è la </w:t>
      </w:r>
      <w:proofErr w:type="spellStart"/>
      <w:r>
        <w:t>severity</w:t>
      </w:r>
      <w:proofErr w:type="spellEnd"/>
      <w:r>
        <w:t xml:space="preserve"> dell’evento i-esimo. Per poter approcciare il calcolo effettivo di indicatori di rischio è necessario </w:t>
      </w:r>
      <w:r w:rsidR="009E2145">
        <w:t xml:space="preserve">riuscire a determinare o approssimare la distribuzione della variabile casuale perdita. Questo richiede di specificare in modo adeguato la famiglia di variabili casuali per il verificarsi di eventi nel tempo (k) e la distribuzione della </w:t>
      </w:r>
      <w:proofErr w:type="spellStart"/>
      <w:r w:rsidR="009E2145">
        <w:t>severity</w:t>
      </w:r>
      <w:proofErr w:type="spellEnd"/>
      <w:r w:rsidR="009E2145">
        <w:t xml:space="preserve">. Noi nella consegna dateci abbiamo già ricevuto la distribuzione della </w:t>
      </w:r>
      <w:proofErr w:type="spellStart"/>
      <w:r w:rsidR="009E2145">
        <w:t>varibile</w:t>
      </w:r>
      <w:proofErr w:type="spellEnd"/>
      <w:r w:rsidR="009E2145">
        <w:t xml:space="preserve"> k (numero di eventi dannosi</w:t>
      </w:r>
      <w:r w:rsidR="009D0BEE">
        <w:t xml:space="preserve"> per una determinata tipologia di eventi e all’interno di una determinata business line</w:t>
      </w:r>
      <w:r w:rsidR="009E2145">
        <w:t xml:space="preserve">), la stessa è una distribuzione di Poisson. </w:t>
      </w:r>
    </w:p>
    <w:p w:rsidR="00C40860" w:rsidRDefault="00C40860" w:rsidP="00C40860">
      <w:pPr>
        <w:jc w:val="both"/>
      </w:pPr>
    </w:p>
    <w:p w:rsidR="00C40860" w:rsidRDefault="009E2145" w:rsidP="00C40860">
      <w:pPr>
        <w:jc w:val="both"/>
      </w:pPr>
      <w:r>
        <w:t xml:space="preserve">Una variabile casuale di Poisson è una variabile casuale discreta che può assumere qualsiasi valore intero non negativo. </w:t>
      </w:r>
      <w:r>
        <w:rPr>
          <w:rFonts w:cstheme="minorHAnsi"/>
        </w:rPr>
        <w:t>È</w:t>
      </w:r>
      <w:r>
        <w:t xml:space="preserve"> un modello probabilistico adoperato per rappresentare situazioni di conteggio del numero di occorrenze di certi eventi in una unità di tempo o più precisamente il numero di successi in un certo intervallo continuo di tempo nel nostro caso. Una distribuzione di Poisson può derivare, come nel nostro caso, da eventi temporali e cioè dalla ripetizione di un evento in un certo intervallo di tempo suddiviso in una serie di intervalli più piccoli</w:t>
      </w:r>
      <w:r w:rsidR="00C40860">
        <w:t xml:space="preserve">. </w:t>
      </w:r>
      <w:r w:rsidR="00C40860">
        <w:t>Si assuma che un intervallo sia diviso in un numero</w:t>
      </w:r>
      <w:r w:rsidR="00C40860">
        <w:t xml:space="preserve"> </w:t>
      </w:r>
      <w:r w:rsidR="00C40860">
        <w:t xml:space="preserve">molto grande di </w:t>
      </w:r>
      <w:proofErr w:type="spellStart"/>
      <w:r w:rsidR="00C40860">
        <w:t>sotto</w:t>
      </w:r>
      <w:r w:rsidR="00C40860">
        <w:t>intervalli</w:t>
      </w:r>
      <w:proofErr w:type="spellEnd"/>
      <w:r w:rsidR="00C40860">
        <w:t xml:space="preserve"> </w:t>
      </w:r>
      <w:r w:rsidR="00C40860">
        <w:t xml:space="preserve">e </w:t>
      </w:r>
      <w:r w:rsidR="00C40860">
        <w:t>che la</w:t>
      </w:r>
      <w:r w:rsidR="00C40860">
        <w:t xml:space="preserve"> </w:t>
      </w:r>
      <w:r w:rsidR="00C40860">
        <w:t>probabilità del verificarsi di un evento in ogni</w:t>
      </w:r>
      <w:r w:rsidR="00C40860">
        <w:t xml:space="preserve"> </w:t>
      </w:r>
      <w:proofErr w:type="spellStart"/>
      <w:r w:rsidR="00C40860">
        <w:t>sottointervallo</w:t>
      </w:r>
      <w:proofErr w:type="spellEnd"/>
      <w:r w:rsidR="00C40860">
        <w:t xml:space="preserve"> sia molto piccola. Le ipotesi di base della</w:t>
      </w:r>
    </w:p>
    <w:p w:rsidR="00C40860" w:rsidRDefault="00C40860" w:rsidP="00C40860">
      <w:pPr>
        <w:jc w:val="both"/>
      </w:pPr>
      <w:r>
        <w:t>Poisson sono:</w:t>
      </w:r>
    </w:p>
    <w:p w:rsidR="00C40860" w:rsidRDefault="00C40860" w:rsidP="00C40860">
      <w:pPr>
        <w:pStyle w:val="Paragrafoelenco"/>
        <w:numPr>
          <w:ilvl w:val="0"/>
          <w:numId w:val="5"/>
        </w:numPr>
        <w:jc w:val="both"/>
      </w:pPr>
      <w:r>
        <w:t>La probabilità del verificarsi di un evento è costante</w:t>
      </w:r>
      <w:r>
        <w:t xml:space="preserve"> </w:t>
      </w:r>
      <w:r>
        <w:t>per tutti</w:t>
      </w:r>
      <w:r>
        <w:t xml:space="preserve"> </w:t>
      </w:r>
      <w:r>
        <w:t xml:space="preserve">i </w:t>
      </w:r>
      <w:proofErr w:type="spellStart"/>
      <w:r>
        <w:t>sottointervalli</w:t>
      </w:r>
      <w:proofErr w:type="spellEnd"/>
      <w:r>
        <w:t>.</w:t>
      </w:r>
    </w:p>
    <w:p w:rsidR="00C40860" w:rsidRDefault="00C40860" w:rsidP="00C40860">
      <w:pPr>
        <w:pStyle w:val="Paragrafoelenco"/>
        <w:numPr>
          <w:ilvl w:val="0"/>
          <w:numId w:val="5"/>
        </w:numPr>
        <w:jc w:val="both"/>
      </w:pPr>
      <w:r>
        <w:t>L’evento non si può verificare più di una volta in</w:t>
      </w:r>
      <w:r>
        <w:t xml:space="preserve"> </w:t>
      </w:r>
      <w:r>
        <w:t xml:space="preserve">ciascuno dei </w:t>
      </w:r>
      <w:proofErr w:type="spellStart"/>
      <w:r>
        <w:t>sottointervalli</w:t>
      </w:r>
      <w:proofErr w:type="spellEnd"/>
      <w:r>
        <w:t>.</w:t>
      </w:r>
    </w:p>
    <w:p w:rsidR="00CD2357" w:rsidRDefault="00C40860" w:rsidP="00C40860">
      <w:pPr>
        <w:pStyle w:val="Paragrafoelenco"/>
        <w:numPr>
          <w:ilvl w:val="0"/>
          <w:numId w:val="5"/>
        </w:numPr>
        <w:jc w:val="both"/>
      </w:pPr>
      <w:r>
        <w:t>Eventi che si verificano in intervalli disgiunti sono</w:t>
      </w:r>
      <w:r>
        <w:t xml:space="preserve"> </w:t>
      </w:r>
      <w:r>
        <w:t>indipendenti.</w:t>
      </w:r>
    </w:p>
    <w:p w:rsidR="00C40860" w:rsidRDefault="00C40860" w:rsidP="00C40860">
      <w:pPr>
        <w:jc w:val="both"/>
      </w:pPr>
      <w:r>
        <w:t>Distribuzione di Poisson:</w:t>
      </w:r>
    </w:p>
    <w:p w:rsidR="00C40860" w:rsidRDefault="00C40860" w:rsidP="000B01C3">
      <w:pPr>
        <w:jc w:val="center"/>
      </w:p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x</m:t>
                </m:r>
              </m:sup>
            </m:sSup>
          </m:num>
          <m:den>
            <m:r>
              <w:rPr>
                <w:rFonts w:ascii="Cambria Math" w:hAnsi="Cambria Math"/>
              </w:rPr>
              <m:t>x!</m:t>
            </m:r>
          </m:den>
        </m:f>
        <m:sSup>
          <m:sSupPr>
            <m:ctrlPr>
              <w:rPr>
                <w:rFonts w:ascii="Cambria Math" w:hAnsi="Cambria Math"/>
                <w:i/>
              </w:rPr>
            </m:ctrlPr>
          </m:sSupPr>
          <m:e>
            <m:r>
              <w:rPr>
                <w:rFonts w:ascii="Cambria Math" w:hAnsi="Cambria Math"/>
              </w:rPr>
              <m:t>ⅇ</m:t>
            </m:r>
          </m:e>
          <m:sup>
            <m:r>
              <w:rPr>
                <w:rFonts w:ascii="Cambria Math" w:hAnsi="Cambria Math"/>
              </w:rPr>
              <m:t>-λ</m:t>
            </m:r>
          </m:sup>
        </m:sSup>
      </m:oMath>
      <w:r>
        <w:rPr>
          <w:rFonts w:eastAsiaTheme="minorEastAsia"/>
        </w:rPr>
        <w:t xml:space="preserve"> con </w:t>
      </w:r>
      <m:oMath>
        <m:r>
          <w:rPr>
            <w:rFonts w:ascii="Cambria Math" w:eastAsiaTheme="minorEastAsia" w:hAnsi="Cambria Math"/>
          </w:rPr>
          <m:t>O&lt;λ&lt;∞</m:t>
        </m:r>
      </m:oMath>
      <w:r>
        <w:rPr>
          <w:rFonts w:eastAsiaTheme="minorEastAsia"/>
        </w:rPr>
        <w:t xml:space="preserve"> </w:t>
      </w:r>
      <w:r w:rsidR="000B01C3">
        <w:rPr>
          <w:rFonts w:eastAsiaTheme="minorEastAsia"/>
        </w:rPr>
        <w:t xml:space="preserve"> dove </w:t>
      </w:r>
      <m:oMath>
        <m:r>
          <w:rPr>
            <w:rFonts w:ascii="Cambria Math" w:eastAsiaTheme="minorEastAsia" w:hAnsi="Cambria Math"/>
          </w:rPr>
          <m:t>X ~ P(</m:t>
        </m:r>
        <m:r>
          <w:rPr>
            <w:rFonts w:ascii="Cambria Math" w:eastAsiaTheme="minorEastAsia" w:hAnsi="Cambria Math"/>
          </w:rPr>
          <m:t>λ</m:t>
        </m:r>
        <m:r>
          <w:rPr>
            <w:rFonts w:ascii="Cambria Math" w:eastAsiaTheme="minorEastAsia" w:hAnsi="Cambria Math"/>
          </w:rPr>
          <m:t>)</m:t>
        </m:r>
      </m:oMath>
    </w:p>
    <w:p w:rsidR="009E2145" w:rsidRDefault="000B01C3" w:rsidP="00CD2357">
      <w:r>
        <w:rPr>
          <w:rFonts w:cstheme="minorHAnsi"/>
        </w:rPr>
        <w:lastRenderedPageBreak/>
        <w:t>È</w:t>
      </w:r>
      <w:r>
        <w:t xml:space="preserve"> possibile dimostrare che: E(X) = </w:t>
      </w:r>
      <w:r w:rsidRPr="000B01C3">
        <w:t>λ</w:t>
      </w:r>
      <w:r>
        <w:t xml:space="preserve"> e VAR(X) = </w:t>
      </w:r>
      <w:r w:rsidRPr="000B01C3">
        <w:t>λ</w:t>
      </w:r>
      <w:r>
        <w:t>.</w:t>
      </w:r>
    </w:p>
    <w:p w:rsidR="000B01C3" w:rsidRDefault="000B01C3" w:rsidP="00214A62">
      <w:pPr>
        <w:jc w:val="both"/>
      </w:pPr>
      <w:r>
        <w:t xml:space="preserve">La funzione di ripartizione di una </w:t>
      </w:r>
      <w:proofErr w:type="spellStart"/>
      <w:r>
        <w:t>Poissoniana</w:t>
      </w:r>
      <w:proofErr w:type="spellEnd"/>
      <w:r>
        <w:t xml:space="preserve"> indica la probabilità di avere un numero di occorrenze (eventi nell’unità di tempo) inferiore ad una data soglia:</w:t>
      </w:r>
    </w:p>
    <w:p w:rsidR="000B01C3" w:rsidRPr="000B01C3" w:rsidRDefault="000B01C3" w:rsidP="00CD235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1⇐0</m:t>
              </m:r>
            </m:sub>
            <m:sup>
              <m:r>
                <w:rPr>
                  <w:rFonts w:ascii="Cambria Math" w:hAnsi="Cambria Math"/>
                </w:rPr>
                <m:t>x</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ⅇ</m:t>
                      </m:r>
                    </m:e>
                    <m:sup>
                      <m:r>
                        <w:rPr>
                          <w:rFonts w:ascii="Cambria Math" w:hAnsi="Cambria Math"/>
                        </w:rPr>
                        <m:t>-λ</m:t>
                      </m:r>
                    </m:sup>
                  </m:sSup>
                </m:num>
                <m:den>
                  <m:r>
                    <w:rPr>
                      <w:rFonts w:ascii="Cambria Math" w:hAnsi="Cambria Math"/>
                    </w:rPr>
                    <m:t>k!</m:t>
                  </m:r>
                </m:den>
              </m:f>
            </m:e>
          </m:nary>
        </m:oMath>
      </m:oMathPara>
    </w:p>
    <w:p w:rsidR="004F48F7" w:rsidRDefault="000B01C3" w:rsidP="009D0BEE">
      <w:pPr>
        <w:jc w:val="both"/>
      </w:pPr>
      <w:r>
        <w:t xml:space="preserve">La </w:t>
      </w:r>
      <w:proofErr w:type="spellStart"/>
      <w:r>
        <w:t>severity</w:t>
      </w:r>
      <w:proofErr w:type="spellEnd"/>
      <w:r w:rsidR="009D0BEE">
        <w:t xml:space="preserve"> – x</w:t>
      </w:r>
      <w:r w:rsidR="009D0BEE">
        <w:rPr>
          <w:vertAlign w:val="subscript"/>
        </w:rPr>
        <w:t xml:space="preserve">i </w:t>
      </w:r>
      <w:proofErr w:type="gramStart"/>
      <w:r w:rsidR="009D0BEE">
        <w:t>( e</w:t>
      </w:r>
      <w:proofErr w:type="gramEnd"/>
      <w:r w:rsidR="009D0BEE">
        <w:t xml:space="preserve"> cioè l’intensità della perdita derivante da una certa tipologia di evento all’interno di una determinata business line) </w:t>
      </w:r>
      <w:r>
        <w:t xml:space="preserve">nel nostro modello è andata invece modellizzata con una distribuzione </w:t>
      </w:r>
      <w:proofErr w:type="spellStart"/>
      <w:r>
        <w:t>lognormale</w:t>
      </w:r>
      <w:proofErr w:type="spellEnd"/>
      <w:r>
        <w:t xml:space="preserve">. Questa distribuzione ammette esclusivamente valori positivi e ha una forma coerente con il dato rappresentato e cioè l’intensità degli eventi di perdita (a </w:t>
      </w:r>
      <w:proofErr w:type="spellStart"/>
      <w:r>
        <w:t>severity</w:t>
      </w:r>
      <w:proofErr w:type="spellEnd"/>
      <w:r>
        <w:t xml:space="preserve"> più basse corrispondono probabilità più alte).</w:t>
      </w:r>
      <w:r w:rsidR="00214A62">
        <w:t xml:space="preserve"> La distribuzione </w:t>
      </w:r>
      <w:proofErr w:type="spellStart"/>
      <w:r w:rsidR="00214A62">
        <w:t>lognormale</w:t>
      </w:r>
      <w:proofErr w:type="spellEnd"/>
      <w:r w:rsidR="00214A62">
        <w:t xml:space="preserve"> </w:t>
      </w:r>
      <w:r w:rsidR="00214A62">
        <w:t>è</w:t>
      </w:r>
      <w:r w:rsidR="00214A62">
        <w:t xml:space="preserve"> </w:t>
      </w:r>
      <w:r w:rsidR="00214A62">
        <w:t>la distribuzione di probabilità di una variabile aleatoria X il</w:t>
      </w:r>
      <w:r w:rsidR="00214A62">
        <w:t xml:space="preserve"> </w:t>
      </w:r>
      <w:r w:rsidR="00214A62">
        <w:t>cui logaritmo log</w:t>
      </w:r>
      <w:r w:rsidR="00214A62">
        <w:t>(</w:t>
      </w:r>
      <w:r w:rsidR="00214A62">
        <w:t>X</w:t>
      </w:r>
      <w:r w:rsidR="00214A62">
        <w:t>)</w:t>
      </w:r>
      <w:r w:rsidR="00214A62">
        <w:t xml:space="preserve"> segue una distribuzione normale. La</w:t>
      </w:r>
      <w:r w:rsidR="00214A62">
        <w:t xml:space="preserve"> </w:t>
      </w:r>
      <w:r w:rsidR="00214A62">
        <w:t>funzione di densità di probabilità della</w:t>
      </w:r>
      <w:r w:rsidR="00214A62">
        <w:t xml:space="preserve"> </w:t>
      </w:r>
      <w:r w:rsidR="00214A62">
        <w:t>distribuzione log-normale è</w:t>
      </w:r>
      <w:r w:rsidR="00214A62">
        <w:t xml:space="preserve">: </w:t>
      </w:r>
    </w:p>
    <w:p w:rsidR="00214A62" w:rsidRDefault="00214A62" w:rsidP="00214A62">
      <w:pPr>
        <w:jc w:val="center"/>
      </w:pPr>
      <m:oMathPara>
        <m:oMath>
          <m:r>
            <w:rPr>
              <w:rFonts w:ascii="Cambria Math" w:hAnsi="Cambria Math"/>
              <w:sz w:val="36"/>
              <w:szCs w:val="36"/>
            </w:rPr>
            <m:t>f</m:t>
          </m:r>
          <m:d>
            <m:dPr>
              <m:ctrlPr>
                <w:rPr>
                  <w:rFonts w:ascii="Cambria Math" w:hAnsi="Cambria Math"/>
                  <w:i/>
                  <w:sz w:val="36"/>
                  <w:szCs w:val="36"/>
                </w:rPr>
              </m:ctrlPr>
            </m:dPr>
            <m:e>
              <m:r>
                <w:rPr>
                  <w:rFonts w:ascii="Cambria Math" w:hAnsi="Cambria Math"/>
                  <w:sz w:val="36"/>
                  <w:szCs w:val="36"/>
                </w:rPr>
                <m:t>x</m:t>
              </m:r>
            </m:e>
          </m:d>
          <m:r>
            <w:rPr>
              <w:rFonts w:ascii="Cambria Math" w:hAnsi="Cambria Math"/>
              <w:sz w:val="36"/>
              <w:szCs w:val="36"/>
            </w:rPr>
            <m:t>=</m:t>
          </m:r>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ⅇ</m:t>
                  </m:r>
                </m:e>
                <m:sup>
                  <m:f>
                    <m:fPr>
                      <m:ctrlPr>
                        <w:rPr>
                          <w:rFonts w:ascii="Cambria Math" w:hAnsi="Cambria Math"/>
                          <w:i/>
                          <w:sz w:val="36"/>
                          <w:szCs w:val="36"/>
                        </w:rPr>
                      </m:ctrlPr>
                    </m:fPr>
                    <m:num>
                      <m:r>
                        <w:rPr>
                          <w:rFonts w:ascii="Cambria Math" w:hAnsi="Cambria Math"/>
                          <w:sz w:val="36"/>
                          <w:szCs w:val="36"/>
                        </w:rPr>
                        <m:t>-</m:t>
                      </m:r>
                      <m:sSup>
                        <m:sSupPr>
                          <m:ctrlPr>
                            <w:rPr>
                              <w:rFonts w:ascii="Cambria Math" w:hAnsi="Cambria Math"/>
                              <w:i/>
                              <w:sz w:val="36"/>
                              <w:szCs w:val="36"/>
                            </w:rPr>
                          </m:ctrlPr>
                        </m:sSupPr>
                        <m:e>
                          <m:d>
                            <m:dPr>
                              <m:ctrlPr>
                                <w:rPr>
                                  <w:rFonts w:ascii="Cambria Math" w:hAnsi="Cambria Math"/>
                                  <w:i/>
                                  <w:sz w:val="36"/>
                                  <w:szCs w:val="36"/>
                                </w:rPr>
                              </m:ctrlPr>
                            </m:dPr>
                            <m:e>
                              <m:func>
                                <m:funcPr>
                                  <m:ctrlPr>
                                    <w:rPr>
                                      <w:rFonts w:ascii="Cambria Math" w:hAnsi="Cambria Math"/>
                                      <w:i/>
                                      <w:sz w:val="36"/>
                                      <w:szCs w:val="36"/>
                                    </w:rPr>
                                  </m:ctrlPr>
                                </m:funcPr>
                                <m:fName>
                                  <m:r>
                                    <w:rPr>
                                      <w:rFonts w:ascii="Cambria Math" w:hAnsi="Cambria Math"/>
                                      <w:sz w:val="36"/>
                                      <w:szCs w:val="36"/>
                                    </w:rPr>
                                    <m:t>log</m:t>
                                  </m:r>
                                </m:fName>
                                <m:e>
                                  <m:d>
                                    <m:dPr>
                                      <m:ctrlPr>
                                        <w:rPr>
                                          <w:rFonts w:ascii="Cambria Math" w:hAnsi="Cambria Math"/>
                                          <w:i/>
                                          <w:sz w:val="36"/>
                                          <w:szCs w:val="36"/>
                                        </w:rPr>
                                      </m:ctrlPr>
                                    </m:dPr>
                                    <m:e>
                                      <m:r>
                                        <w:rPr>
                                          <w:rFonts w:ascii="Cambria Math" w:hAnsi="Cambria Math"/>
                                          <w:sz w:val="36"/>
                                          <w:szCs w:val="36"/>
                                        </w:rPr>
                                        <m:t>x</m:t>
                                      </m:r>
                                    </m:e>
                                  </m:d>
                                </m:e>
                              </m:func>
                              <m:r>
                                <w:rPr>
                                  <w:rFonts w:ascii="Cambria Math" w:hAnsi="Cambria Math"/>
                                  <w:sz w:val="36"/>
                                  <w:szCs w:val="36"/>
                                </w:rPr>
                                <m:t>-μ</m:t>
                              </m:r>
                            </m:e>
                          </m:d>
                        </m:e>
                        <m:sup>
                          <m:r>
                            <w:rPr>
                              <w:rFonts w:ascii="Cambria Math" w:hAnsi="Cambria Math"/>
                              <w:sz w:val="36"/>
                              <w:szCs w:val="36"/>
                            </w:rPr>
                            <m:t>2</m:t>
                          </m:r>
                        </m:sup>
                      </m:sSup>
                    </m:num>
                    <m:den>
                      <m:r>
                        <w:rPr>
                          <w:rFonts w:ascii="Cambria Math" w:hAnsi="Cambria Math"/>
                          <w:sz w:val="36"/>
                          <w:szCs w:val="36"/>
                        </w:rPr>
                        <m:t>2</m:t>
                      </m:r>
                      <m:sSup>
                        <m:sSupPr>
                          <m:ctrlPr>
                            <w:rPr>
                              <w:rFonts w:ascii="Cambria Math" w:hAnsi="Cambria Math"/>
                              <w:i/>
                              <w:sz w:val="36"/>
                              <w:szCs w:val="36"/>
                            </w:rPr>
                          </m:ctrlPr>
                        </m:sSupPr>
                        <m:e>
                          <m:r>
                            <w:rPr>
                              <w:rFonts w:ascii="Cambria Math" w:hAnsi="Cambria Math"/>
                              <w:sz w:val="36"/>
                              <w:szCs w:val="36"/>
                            </w:rPr>
                            <m:t>σ</m:t>
                          </m:r>
                        </m:e>
                        <m:sup>
                          <m:r>
                            <w:rPr>
                              <w:rFonts w:ascii="Cambria Math" w:hAnsi="Cambria Math"/>
                              <w:sz w:val="36"/>
                              <w:szCs w:val="36"/>
                            </w:rPr>
                            <m:t>2</m:t>
                          </m:r>
                        </m:sup>
                      </m:sSup>
                    </m:den>
                  </m:f>
                </m:sup>
              </m:sSup>
            </m:num>
            <m:den>
              <m:rad>
                <m:radPr>
                  <m:degHide m:val="1"/>
                  <m:ctrlPr>
                    <w:rPr>
                      <w:rFonts w:ascii="Cambria Math" w:hAnsi="Cambria Math"/>
                      <w:i/>
                      <w:sz w:val="36"/>
                      <w:szCs w:val="36"/>
                    </w:rPr>
                  </m:ctrlPr>
                </m:radPr>
                <m:deg/>
                <m:e>
                  <m:r>
                    <w:rPr>
                      <w:rFonts w:ascii="Cambria Math" w:hAnsi="Cambria Math"/>
                      <w:sz w:val="36"/>
                      <w:szCs w:val="36"/>
                    </w:rPr>
                    <m:t>2π</m:t>
                  </m:r>
                  <m:sSup>
                    <m:sSupPr>
                      <m:ctrlPr>
                        <w:rPr>
                          <w:rFonts w:ascii="Cambria Math" w:hAnsi="Cambria Math"/>
                          <w:i/>
                          <w:sz w:val="36"/>
                          <w:szCs w:val="36"/>
                        </w:rPr>
                      </m:ctrlPr>
                    </m:sSupPr>
                    <m:e>
                      <m:r>
                        <w:rPr>
                          <w:rFonts w:ascii="Cambria Math" w:hAnsi="Cambria Math"/>
                          <w:sz w:val="36"/>
                          <w:szCs w:val="36"/>
                        </w:rPr>
                        <m:t>σ</m:t>
                      </m:r>
                    </m:e>
                    <m:sup>
                      <m:r>
                        <w:rPr>
                          <w:rFonts w:ascii="Cambria Math" w:hAnsi="Cambria Math"/>
                          <w:sz w:val="36"/>
                          <w:szCs w:val="36"/>
                        </w:rPr>
                        <m:t>2</m:t>
                      </m:r>
                    </m:sup>
                  </m:sSup>
                  <m:r>
                    <w:rPr>
                      <w:rFonts w:ascii="Cambria Math" w:hAnsi="Cambria Math"/>
                      <w:sz w:val="36"/>
                      <w:szCs w:val="36"/>
                    </w:rPr>
                    <m:t>x</m:t>
                  </m:r>
                </m:e>
              </m:rad>
            </m:den>
          </m:f>
        </m:oMath>
      </m:oMathPara>
    </w:p>
    <w:p w:rsidR="00214A62" w:rsidRDefault="004F48F7" w:rsidP="00214A62">
      <w:pPr>
        <w:jc w:val="both"/>
      </w:pPr>
      <w:r>
        <w:t>L</w:t>
      </w:r>
      <w:r w:rsidR="00214A62">
        <w:t xml:space="preserve">a distribuzione </w:t>
      </w:r>
      <w:proofErr w:type="spellStart"/>
      <w:r>
        <w:t>log</w:t>
      </w:r>
      <w:r w:rsidR="00214A62">
        <w:t>normale</w:t>
      </w:r>
      <w:proofErr w:type="spellEnd"/>
      <w:r w:rsidR="00214A62">
        <w:t xml:space="preserve"> </w:t>
      </w:r>
      <w:r>
        <w:t xml:space="preserve">fornisce </w:t>
      </w:r>
      <w:r w:rsidR="00214A62">
        <w:t xml:space="preserve">un'approssimazione per </w:t>
      </w:r>
      <w:r>
        <w:t xml:space="preserve">il </w:t>
      </w:r>
      <w:proofErr w:type="spellStart"/>
      <w:r>
        <w:t>rodotto</w:t>
      </w:r>
      <w:proofErr w:type="spellEnd"/>
      <w:r w:rsidR="00214A62">
        <w:t xml:space="preserve"> di "molte" variabili</w:t>
      </w:r>
      <w:r>
        <w:t xml:space="preserve"> </w:t>
      </w:r>
      <w:r w:rsidR="00214A62">
        <w:t>aleatorie IID X</w:t>
      </w:r>
      <w:proofErr w:type="gramStart"/>
      <w:r w:rsidR="00214A62">
        <w:t>1,...</w:t>
      </w:r>
      <w:proofErr w:type="gramEnd"/>
      <w:r w:rsidR="00214A62">
        <w:t>,</w:t>
      </w:r>
      <w:proofErr w:type="spellStart"/>
      <w:r w:rsidR="00214A62">
        <w:t>Xn</w:t>
      </w:r>
      <w:proofErr w:type="spellEnd"/>
      <w:r w:rsidR="00214A62">
        <w:t>.</w:t>
      </w:r>
    </w:p>
    <w:p w:rsidR="000B01C3" w:rsidRDefault="004F48F7" w:rsidP="00214A62">
      <w:pPr>
        <w:jc w:val="both"/>
        <w:rPr>
          <w:rFonts w:eastAsiaTheme="minorEastAsia"/>
        </w:rPr>
      </w:pPr>
      <w:r>
        <w:t xml:space="preserve">Un aspetto molto importante è la messa a punto di misure di rischio che sintetizzino il rischio di perdite operative e cioè l’incertezza della variabile casuale L. Tra le diverse misure di rischio ci è il VAR – Value </w:t>
      </w:r>
      <w:proofErr w:type="spellStart"/>
      <w:r>
        <w:t>at</w:t>
      </w:r>
      <w:proofErr w:type="spellEnd"/>
      <w:r>
        <w:t xml:space="preserve"> Risk. Il VAR si definisce come la massima perdita in un certo intervallo di tempo [</w:t>
      </w:r>
      <w:proofErr w:type="spellStart"/>
      <w:proofErr w:type="gramStart"/>
      <w:r>
        <w:t>t,T</w:t>
      </w:r>
      <w:proofErr w:type="spellEnd"/>
      <w:proofErr w:type="gramEnd"/>
      <w:r>
        <w:t>] con un dato livello di confidenza (1-</w:t>
      </w:r>
      <m:oMath>
        <m:r>
          <w:rPr>
            <w:rFonts w:ascii="Cambria Math" w:hAnsi="Cambria Math"/>
          </w:rPr>
          <m:t>α</m:t>
        </m:r>
      </m:oMath>
      <w:r>
        <w:rPr>
          <w:rFonts w:eastAsiaTheme="minorEastAsia"/>
        </w:rPr>
        <w:t xml:space="preserve">). </w:t>
      </w:r>
    </w:p>
    <w:p w:rsidR="005061D8" w:rsidRDefault="004F48F7" w:rsidP="00214A62">
      <w:pPr>
        <w:jc w:val="both"/>
      </w:pPr>
      <w:r>
        <w:t xml:space="preserve">In caso di variabile casuale continua è dato dal percentile della variabile casuale della perdita L: </w:t>
      </w:r>
    </w:p>
    <w:p w:rsidR="004F48F7" w:rsidRDefault="004F48F7" w:rsidP="005061D8">
      <w:pPr>
        <w:jc w:val="center"/>
      </w:pPr>
      <w:r>
        <w:t>VAR</w:t>
      </w:r>
      <w:r w:rsidR="005061D8">
        <w:t>=F</w:t>
      </w:r>
      <w:r w:rsidR="005061D8" w:rsidRPr="005061D8">
        <w:rPr>
          <w:vertAlign w:val="superscript"/>
        </w:rPr>
        <w:t>-1</w:t>
      </w:r>
      <w:r w:rsidR="005061D8">
        <w:t>(1-</w:t>
      </w:r>
      <w:r w:rsidR="005061D8" w:rsidRPr="005061D8">
        <w:t xml:space="preserve"> α</w:t>
      </w:r>
      <w:r w:rsidR="005061D8">
        <w:t>).</w:t>
      </w:r>
    </w:p>
    <w:p w:rsidR="005061D8" w:rsidRDefault="005061D8" w:rsidP="005061D8">
      <w:pPr>
        <w:rPr>
          <w:b/>
        </w:rPr>
      </w:pPr>
      <w:r w:rsidRPr="005061D8">
        <w:rPr>
          <w:b/>
        </w:rPr>
        <w:t>APPLICAZIONI</w:t>
      </w:r>
      <w:r>
        <w:rPr>
          <w:b/>
        </w:rPr>
        <w:t>: MODELIZZAZIONE DELLA PERDITA E SIMULAZIONE MONTECARLO</w:t>
      </w:r>
    </w:p>
    <w:p w:rsidR="005061D8" w:rsidRPr="005061D8" w:rsidRDefault="005061D8" w:rsidP="005061D8">
      <w:pPr>
        <w:jc w:val="both"/>
      </w:pPr>
      <w:r w:rsidRPr="005061D8">
        <w:t xml:space="preserve">Una volta che si sono costruite le distribuzioni di </w:t>
      </w:r>
      <w:proofErr w:type="spellStart"/>
      <w:r w:rsidRPr="005061D8">
        <w:t>severity</w:t>
      </w:r>
      <w:proofErr w:type="spellEnd"/>
      <w:r w:rsidRPr="005061D8">
        <w:t xml:space="preserve"> e di </w:t>
      </w:r>
      <w:proofErr w:type="spellStart"/>
      <w:r w:rsidRPr="005061D8">
        <w:t>frequency</w:t>
      </w:r>
      <w:proofErr w:type="spellEnd"/>
      <w:r w:rsidRPr="005061D8">
        <w:t xml:space="preserve"> delle perdite</w:t>
      </w:r>
      <w:r>
        <w:t xml:space="preserve"> </w:t>
      </w:r>
      <w:r w:rsidRPr="005061D8">
        <w:t>operative, è</w:t>
      </w:r>
      <w:r>
        <w:t xml:space="preserve"> </w:t>
      </w:r>
      <w:r w:rsidRPr="005061D8">
        <w:t>necessario determinare la distribuzione aggregata delle perdite attraverso la</w:t>
      </w:r>
      <w:r>
        <w:t xml:space="preserve"> </w:t>
      </w:r>
      <w:r w:rsidRPr="005061D8">
        <w:t>convoluzione delle due distribuzioni. Generalmente la determinazione di tale</w:t>
      </w:r>
      <w:r>
        <w:t xml:space="preserve"> </w:t>
      </w:r>
      <w:r w:rsidRPr="005061D8">
        <w:t>distribuzione attraverso metodi analitici è estremamente complessa, la soluzione più</w:t>
      </w:r>
      <w:r>
        <w:t xml:space="preserve"> </w:t>
      </w:r>
      <w:r w:rsidRPr="005061D8">
        <w:t>semplice e più diffusa consiste nel ricorrere alla simulazione di Monte Carlo.</w:t>
      </w:r>
    </w:p>
    <w:p w:rsidR="005061D8" w:rsidRPr="005061D8" w:rsidRDefault="005061D8" w:rsidP="005061D8">
      <w:pPr>
        <w:jc w:val="both"/>
      </w:pPr>
      <w:r w:rsidRPr="005061D8">
        <w:t xml:space="preserve">Si determinano un sufficiente numero di scenari di </w:t>
      </w:r>
      <w:proofErr w:type="spellStart"/>
      <w:r w:rsidRPr="005061D8">
        <w:t>frequency</w:t>
      </w:r>
      <w:proofErr w:type="spellEnd"/>
      <w:r w:rsidRPr="005061D8">
        <w:t xml:space="preserve"> e di </w:t>
      </w:r>
      <w:proofErr w:type="spellStart"/>
      <w:r w:rsidRPr="005061D8">
        <w:t>severity</w:t>
      </w:r>
      <w:proofErr w:type="spellEnd"/>
      <w:r w:rsidRPr="005061D8">
        <w:t xml:space="preserve"> e si</w:t>
      </w:r>
      <w:r>
        <w:t xml:space="preserve"> </w:t>
      </w:r>
      <w:r w:rsidRPr="005061D8">
        <w:t xml:space="preserve">costruisce la variabile </w:t>
      </w:r>
      <w:r>
        <w:t xml:space="preserve">L </w:t>
      </w:r>
      <w:r w:rsidRPr="005061D8">
        <w:t>procedendo in questo modo:</w:t>
      </w:r>
    </w:p>
    <w:p w:rsidR="005061D8" w:rsidRPr="005061D8" w:rsidRDefault="005061D8" w:rsidP="005061D8">
      <w:pPr>
        <w:pStyle w:val="Paragrafoelenco"/>
        <w:numPr>
          <w:ilvl w:val="0"/>
          <w:numId w:val="6"/>
        </w:numPr>
        <w:jc w:val="both"/>
      </w:pPr>
      <w:r w:rsidRPr="005061D8">
        <w:t xml:space="preserve">Si genera n campionandolo dalla distribuzione di </w:t>
      </w:r>
      <w:proofErr w:type="spellStart"/>
      <w:r w:rsidRPr="005061D8">
        <w:t>frequency</w:t>
      </w:r>
      <w:proofErr w:type="spellEnd"/>
      <w:r w:rsidRPr="005061D8">
        <w:t>;</w:t>
      </w:r>
    </w:p>
    <w:p w:rsidR="005061D8" w:rsidRDefault="005061D8" w:rsidP="005061D8">
      <w:pPr>
        <w:pStyle w:val="Paragrafoelenco"/>
        <w:numPr>
          <w:ilvl w:val="0"/>
          <w:numId w:val="6"/>
        </w:numPr>
        <w:jc w:val="both"/>
      </w:pPr>
      <w:r w:rsidRPr="005061D8">
        <w:t xml:space="preserve">Si generano n variabili xi campionate dalla distribuzione di </w:t>
      </w:r>
      <w:proofErr w:type="spellStart"/>
      <w:r w:rsidRPr="005061D8">
        <w:t>severity</w:t>
      </w:r>
      <w:proofErr w:type="spellEnd"/>
      <w:r w:rsidRPr="005061D8">
        <w:t xml:space="preserve"> e se ne</w:t>
      </w:r>
      <w:r>
        <w:t xml:space="preserve"> </w:t>
      </w:r>
      <w:r w:rsidRPr="005061D8">
        <w:t xml:space="preserve">costruisce la somma </w:t>
      </w:r>
      <w:r>
        <w:t>L</w:t>
      </w:r>
      <w:r w:rsidRPr="005061D8">
        <w:t>;</w:t>
      </w:r>
    </w:p>
    <w:p w:rsidR="005061D8" w:rsidRPr="005061D8" w:rsidRDefault="005061D8" w:rsidP="005061D8">
      <w:pPr>
        <w:pStyle w:val="Paragrafoelenco"/>
        <w:numPr>
          <w:ilvl w:val="0"/>
          <w:numId w:val="6"/>
        </w:numPr>
        <w:jc w:val="both"/>
      </w:pPr>
      <w:r w:rsidRPr="005061D8">
        <w:t>Si ripete il processo per un numero sufficientemente grande di scenari e si studia</w:t>
      </w:r>
      <w:r>
        <w:t xml:space="preserve"> </w:t>
      </w:r>
      <w:r w:rsidRPr="005061D8">
        <w:t xml:space="preserve">la distribuzione empirica delle </w:t>
      </w:r>
      <w:r>
        <w:t>perdite operative</w:t>
      </w:r>
      <w:r w:rsidRPr="005061D8">
        <w:t xml:space="preserve"> così ottenuta;</w:t>
      </w:r>
    </w:p>
    <w:p w:rsidR="005061D8" w:rsidRPr="005061D8" w:rsidRDefault="005061D8" w:rsidP="005061D8">
      <w:pPr>
        <w:pStyle w:val="Paragrafoelenco"/>
        <w:numPr>
          <w:ilvl w:val="0"/>
          <w:numId w:val="6"/>
        </w:numPr>
        <w:jc w:val="both"/>
      </w:pPr>
      <w:r w:rsidRPr="005061D8">
        <w:t xml:space="preserve">Dalla distribuzione cumulativa empirica di </w:t>
      </w:r>
      <w:r>
        <w:t>L</w:t>
      </w:r>
      <w:r w:rsidRPr="005061D8">
        <w:t xml:space="preserve"> si determina il </w:t>
      </w:r>
      <w:r>
        <w:t xml:space="preserve">Value </w:t>
      </w:r>
      <w:proofErr w:type="spellStart"/>
      <w:r>
        <w:t>at</w:t>
      </w:r>
      <w:proofErr w:type="spellEnd"/>
      <w:r>
        <w:t xml:space="preserve"> Risk </w:t>
      </w:r>
      <w:r w:rsidRPr="005061D8">
        <w:t>come il percentile al livello</w:t>
      </w:r>
      <w:r>
        <w:t xml:space="preserve"> </w:t>
      </w:r>
      <w:r w:rsidRPr="005061D8">
        <w:t>desiderato.</w:t>
      </w:r>
    </w:p>
    <w:p w:rsidR="005061D8" w:rsidRDefault="005061D8" w:rsidP="00FF5E2A">
      <w:pPr>
        <w:jc w:val="both"/>
      </w:pPr>
      <w:r w:rsidRPr="005061D8">
        <w:t>Per costruire la distribuzione aggregata è necessario partire dall’assunzione che tutti gli</w:t>
      </w:r>
      <w:r>
        <w:t xml:space="preserve"> </w:t>
      </w:r>
      <w:r w:rsidRPr="005061D8">
        <w:t>eventi siano reciprocamente indipendenti, che il costo di ogni “incidente” sia</w:t>
      </w:r>
      <w:r>
        <w:t xml:space="preserve"> </w:t>
      </w:r>
      <w:r w:rsidRPr="005061D8">
        <w:t xml:space="preserve">identicamente distribuito e che la </w:t>
      </w:r>
      <w:r w:rsidRPr="005061D8">
        <w:lastRenderedPageBreak/>
        <w:t xml:space="preserve">distribuzione di </w:t>
      </w:r>
      <w:proofErr w:type="spellStart"/>
      <w:r w:rsidRPr="005061D8">
        <w:t>frequency</w:t>
      </w:r>
      <w:proofErr w:type="spellEnd"/>
      <w:r w:rsidRPr="005061D8">
        <w:t xml:space="preserve"> e quella di </w:t>
      </w:r>
      <w:proofErr w:type="spellStart"/>
      <w:r w:rsidRPr="005061D8">
        <w:t>severity</w:t>
      </w:r>
      <w:proofErr w:type="spellEnd"/>
      <w:r w:rsidRPr="005061D8">
        <w:t xml:space="preserve"> siano</w:t>
      </w:r>
      <w:r>
        <w:t xml:space="preserve"> </w:t>
      </w:r>
      <w:r w:rsidRPr="005061D8">
        <w:t xml:space="preserve">indipendenti. Con queste assunzioni si può definire come impatto di perdita totale </w:t>
      </w:r>
      <w:r w:rsidR="00FF5E2A">
        <w:t xml:space="preserve">L </w:t>
      </w:r>
      <w:r w:rsidRPr="005061D8">
        <w:t>nell’intervallo di tempo desiderato (ad esempio un anno) la seguente variabile:</w:t>
      </w:r>
    </w:p>
    <w:p w:rsidR="00FF5E2A" w:rsidRDefault="00FF5E2A" w:rsidP="00FF5E2A">
      <w:pPr>
        <w:jc w:val="center"/>
      </w:pPr>
      <w:r>
        <w:rPr>
          <w:noProof/>
        </w:rPr>
        <w:drawing>
          <wp:inline distT="0" distB="0" distL="0" distR="0" wp14:anchorId="0F7C93B0">
            <wp:extent cx="1061085" cy="737870"/>
            <wp:effectExtent l="0" t="0" r="5715"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rsidR="00FF5E2A" w:rsidRDefault="00FF5E2A" w:rsidP="00FF5E2A">
      <w:pPr>
        <w:jc w:val="both"/>
      </w:pPr>
      <w:r>
        <w:t>Inizialmente, la simulazione di Monte Carlo sceglie casualmente un numero</w:t>
      </w:r>
      <w:r>
        <w:t xml:space="preserve"> giornaliero</w:t>
      </w:r>
      <w:r>
        <w:t xml:space="preserve"> di</w:t>
      </w:r>
      <w:r>
        <w:t xml:space="preserve"> </w:t>
      </w:r>
      <w:r>
        <w:t xml:space="preserve">eventi dalla distribuzione di </w:t>
      </w:r>
      <w:proofErr w:type="spellStart"/>
      <w:r>
        <w:t>frequency</w:t>
      </w:r>
      <w:proofErr w:type="spellEnd"/>
      <w:r>
        <w:t>. La scelta più probabile sarà sempre uguale alla</w:t>
      </w:r>
      <w:r>
        <w:t xml:space="preserve"> </w:t>
      </w:r>
      <w:r>
        <w:t>media. Questo numero scelto casualmente è la frequenza per quell’iterazione. La</w:t>
      </w:r>
      <w:r>
        <w:t xml:space="preserve"> </w:t>
      </w:r>
      <w:r>
        <w:t>frequenza viene quindi utilizzata come numero di estrazioni che la simulazione di</w:t>
      </w:r>
      <w:r>
        <w:t xml:space="preserve"> </w:t>
      </w:r>
      <w:r>
        <w:t xml:space="preserve">Monte Carlo selezionerà dalla distribuzione di </w:t>
      </w:r>
      <w:proofErr w:type="spellStart"/>
      <w:r>
        <w:t>severity</w:t>
      </w:r>
      <w:proofErr w:type="spellEnd"/>
      <w:r>
        <w:t>. Ognuna di queste estrazioni</w:t>
      </w:r>
      <w:r>
        <w:t xml:space="preserve"> </w:t>
      </w:r>
      <w:r>
        <w:t xml:space="preserve">dalla distribuzione di </w:t>
      </w:r>
      <w:proofErr w:type="spellStart"/>
      <w:r>
        <w:t>severity</w:t>
      </w:r>
      <w:proofErr w:type="spellEnd"/>
      <w:r>
        <w:t xml:space="preserve"> rappresenta un evento di perdita. Tutti questi importi di</w:t>
      </w:r>
      <w:r>
        <w:t xml:space="preserve"> </w:t>
      </w:r>
      <w:r>
        <w:t>perdita vengono sommati per creare la quantità annuale di perdita complessiva.</w:t>
      </w:r>
      <w:r>
        <w:t xml:space="preserve"> </w:t>
      </w:r>
      <w:r>
        <w:t>Questo processo viene ripetuto fino a quando viene eseguito il numero desiderato di</w:t>
      </w:r>
      <w:r>
        <w:t xml:space="preserve"> </w:t>
      </w:r>
      <w:r>
        <w:t>iterazioni. Gli importi delle perdite complessivi di ogni iterazione sono ordinati dal più</w:t>
      </w:r>
      <w:r>
        <w:t xml:space="preserve"> </w:t>
      </w:r>
      <w:r>
        <w:t>piccolo al più grande, e la media di tutti i risultati è la perdita attesa della distribuzione</w:t>
      </w:r>
      <w:r>
        <w:t xml:space="preserve"> </w:t>
      </w:r>
      <w:r>
        <w:t xml:space="preserve">di perdita aggregata. </w:t>
      </w:r>
      <w:r>
        <w:t xml:space="preserve">Individuare il 99.9° percentile significa prendere le 10 perdite più grandi di un campione di 10'000 perdite. </w:t>
      </w:r>
    </w:p>
    <w:p w:rsidR="00FF5E2A" w:rsidRDefault="00FF5E2A" w:rsidP="009D0BEE">
      <w:pPr>
        <w:jc w:val="both"/>
      </w:pPr>
      <w:r>
        <w:t>L'importo</w:t>
      </w:r>
      <w:r>
        <w:t xml:space="preserve"> </w:t>
      </w:r>
      <w:r>
        <w:t>del</w:t>
      </w:r>
      <w:r>
        <w:t xml:space="preserve"> Value </w:t>
      </w:r>
      <w:proofErr w:type="spellStart"/>
      <w:r>
        <w:t>at</w:t>
      </w:r>
      <w:proofErr w:type="spellEnd"/>
      <w:r>
        <w:t xml:space="preserve"> Risk </w:t>
      </w:r>
      <w:r w:rsidR="009D0BEE">
        <w:t xml:space="preserve">per la determinata tipologia di evento e all’interno della </w:t>
      </w:r>
      <w:proofErr w:type="spellStart"/>
      <w:r w:rsidR="009D0BEE">
        <w:t>prespecificata</w:t>
      </w:r>
      <w:proofErr w:type="spellEnd"/>
      <w:r w:rsidR="009D0BEE">
        <w:t xml:space="preserve"> linea di business </w:t>
      </w:r>
      <w:r>
        <w:t>è dat</w:t>
      </w:r>
      <w:r>
        <w:t>o</w:t>
      </w:r>
      <w:r>
        <w:t xml:space="preserve"> dal</w:t>
      </w:r>
      <w:r>
        <w:t xml:space="preserve"> </w:t>
      </w:r>
      <w:r>
        <w:t xml:space="preserve">99.9° percentile della distribuzione di perdita aggregata. </w:t>
      </w:r>
      <w:r w:rsidR="009D0BEE">
        <w:t xml:space="preserve">L’approccio del </w:t>
      </w:r>
      <w:proofErr w:type="spellStart"/>
      <w:r w:rsidR="009D0BEE">
        <w:t>VaR</w:t>
      </w:r>
      <w:proofErr w:type="spellEnd"/>
      <w:r w:rsidR="009D0BEE">
        <w:t xml:space="preserve"> (Value </w:t>
      </w:r>
      <w:proofErr w:type="spellStart"/>
      <w:r w:rsidR="009D0BEE">
        <w:t>at</w:t>
      </w:r>
      <w:proofErr w:type="spellEnd"/>
      <w:r w:rsidR="009D0BEE">
        <w:t xml:space="preserve"> Risk) rappresenta una metodologia di quantificazione</w:t>
      </w:r>
      <w:r w:rsidR="009D0BEE">
        <w:t xml:space="preserve"> </w:t>
      </w:r>
      <w:r w:rsidR="009D0BEE">
        <w:t>dell’esposizione di un intermediario finanziario alle diverse tipologie di rischio e di</w:t>
      </w:r>
      <w:r w:rsidR="009D0BEE">
        <w:t xml:space="preserve"> </w:t>
      </w:r>
      <w:r w:rsidR="009D0BEE">
        <w:t>determinazione dell’ammontare di capitale proprio necessario ad assorbire perdite</w:t>
      </w:r>
      <w:r w:rsidR="009D0BEE">
        <w:t xml:space="preserve"> </w:t>
      </w:r>
      <w:r w:rsidR="009D0BEE">
        <w:t xml:space="preserve">potenziali conseguenti a tali rischi. Il </w:t>
      </w:r>
      <w:proofErr w:type="spellStart"/>
      <w:r w:rsidR="009D0BEE">
        <w:t>VaR</w:t>
      </w:r>
      <w:proofErr w:type="spellEnd"/>
      <w:r w:rsidR="009D0BEE">
        <w:t xml:space="preserve"> esprime la massima perdita che può essere</w:t>
      </w:r>
      <w:r w:rsidR="009D0BEE">
        <w:t xml:space="preserve"> </w:t>
      </w:r>
      <w:r w:rsidR="009D0BEE">
        <w:t>conseguita in un determinato periodo di tempo nel (1 - α) % degli eventi, dove il</w:t>
      </w:r>
      <w:r w:rsidR="009D0BEE">
        <w:t xml:space="preserve"> </w:t>
      </w:r>
      <w:r w:rsidR="009D0BEE">
        <w:t>coefficiente α rappresenta il livello di tolleranza.</w:t>
      </w:r>
    </w:p>
    <w:p w:rsidR="009D0BEE" w:rsidRDefault="009D0BEE" w:rsidP="009D0BEE">
      <w:pPr>
        <w:jc w:val="both"/>
      </w:pPr>
    </w:p>
    <w:p w:rsidR="009D0BEE" w:rsidRDefault="009D0BEE" w:rsidP="009D0BEE">
      <w:pPr>
        <w:jc w:val="both"/>
        <w:rPr>
          <w:b/>
        </w:rPr>
      </w:pPr>
      <w:r w:rsidRPr="009D0BEE">
        <w:rPr>
          <w:b/>
        </w:rPr>
        <w:t>AGGREGAZIONE DELLE CLASSI DI RISCHIO</w:t>
      </w:r>
    </w:p>
    <w:p w:rsidR="008134CC" w:rsidRDefault="008134CC" w:rsidP="008134CC">
      <w:pPr>
        <w:pStyle w:val="Nessunaspaziatura"/>
        <w:jc w:val="both"/>
      </w:pPr>
      <w:r>
        <w:t>Ora disponiamo delle</w:t>
      </w:r>
      <w:r>
        <w:t xml:space="preserve"> distribuzioni (empiriche) delle perdite</w:t>
      </w:r>
      <w:r>
        <w:t xml:space="preserve"> </w:t>
      </w:r>
      <w:r>
        <w:t xml:space="preserve">aggregate </w:t>
      </w:r>
      <w:r>
        <w:t>giornalier</w:t>
      </w:r>
      <w:r>
        <w:t xml:space="preserve">e </w:t>
      </w:r>
      <w:r>
        <w:t>per</w:t>
      </w:r>
      <w:r>
        <w:t xml:space="preserve"> ogni classe di rischio</w:t>
      </w:r>
      <w:r>
        <w:t xml:space="preserve"> ed unità di business.</w:t>
      </w:r>
      <w:r>
        <w:t xml:space="preserve"> Il calcolo del requisito patrimoniale</w:t>
      </w:r>
      <w:r>
        <w:t xml:space="preserve"> </w:t>
      </w:r>
      <w:r>
        <w:t>complessivo a fronte del rischio operativo può essere effettuato semplicemente</w:t>
      </w:r>
      <w:r>
        <w:t xml:space="preserve"> </w:t>
      </w:r>
      <w:r>
        <w:t>sommando i requisiti di capitale determinati per ciascuna Business Line e tipologia di</w:t>
      </w:r>
      <w:r>
        <w:t xml:space="preserve"> </w:t>
      </w:r>
      <w:r>
        <w:t>evento</w:t>
      </w:r>
      <w:r>
        <w:t>.</w:t>
      </w:r>
      <w:r>
        <w:t xml:space="preserve"> </w:t>
      </w:r>
      <w:r>
        <w:t>I</w:t>
      </w:r>
      <w:r>
        <w:t>n questo modo si assume una correlazione lineare perfetta tra ogni coppia di</w:t>
      </w:r>
      <w:r>
        <w:t xml:space="preserve"> </w:t>
      </w:r>
      <w:proofErr w:type="spellStart"/>
      <w:r>
        <w:t>Event</w:t>
      </w:r>
      <w:proofErr w:type="spellEnd"/>
      <w:r>
        <w:t xml:space="preserve"> </w:t>
      </w:r>
      <w:proofErr w:type="spellStart"/>
      <w:r>
        <w:t>Type</w:t>
      </w:r>
      <w:proofErr w:type="spellEnd"/>
      <w:r>
        <w:t>, oppure si può tener conto delle dipendenze tra i vari rischi operativi.</w:t>
      </w:r>
    </w:p>
    <w:p w:rsidR="008134CC" w:rsidRDefault="008134CC" w:rsidP="008134CC">
      <w:pPr>
        <w:pStyle w:val="Nessunaspaziatura"/>
        <w:jc w:val="both"/>
      </w:pPr>
    </w:p>
    <w:p w:rsidR="00FF5E2A" w:rsidRPr="005061D8" w:rsidRDefault="008134CC" w:rsidP="008134CC">
      <w:pPr>
        <w:jc w:val="both"/>
      </w:pPr>
      <w:r>
        <w:t>L’alternativa, prevista anche dal</w:t>
      </w:r>
      <w:r>
        <w:t>l’</w:t>
      </w:r>
      <w:r>
        <w:t xml:space="preserve"> Accordo di Basilea, acconsente l’utilizzo di</w:t>
      </w:r>
      <w:r>
        <w:t xml:space="preserve"> </w:t>
      </w:r>
      <w:r>
        <w:t>altre tecniche di aggregazione, assumendo strutture di correlazione diverse. Viene</w:t>
      </w:r>
      <w:r>
        <w:t xml:space="preserve"> </w:t>
      </w:r>
      <w:r>
        <w:t>riconosciuta la possibilità alle banche, di considerare eventuali correlazioni esistenti tra</w:t>
      </w:r>
      <w:r>
        <w:t xml:space="preserve"> </w:t>
      </w:r>
      <w:r>
        <w:t>le perdite di natura operativa delle diverse Business Line e quelle derivanti dalle varie</w:t>
      </w:r>
      <w:r>
        <w:t xml:space="preserve"> </w:t>
      </w:r>
      <w:r>
        <w:t>tipologie di evento, a condizione che possano dimostrare all’autorità di vigilanza, con</w:t>
      </w:r>
      <w:r>
        <w:t xml:space="preserve"> </w:t>
      </w:r>
      <w:r>
        <w:t>un elevato grado di certezza, che le metodologie usate per stimare la correlazione siano</w:t>
      </w:r>
      <w:r>
        <w:t xml:space="preserve"> </w:t>
      </w:r>
      <w:r>
        <w:t>robuste, integre e capaci di riflettere l’incertezza che tipicamente caratterizza tali stime</w:t>
      </w:r>
      <w:r>
        <w:t xml:space="preserve"> </w:t>
      </w:r>
      <w:r>
        <w:t>nei pe</w:t>
      </w:r>
      <w:bookmarkStart w:id="0" w:name="_GoBack"/>
      <w:bookmarkEnd w:id="0"/>
      <w:r>
        <w:t>riodi di stress.</w:t>
      </w:r>
    </w:p>
    <w:sectPr w:rsidR="00FF5E2A" w:rsidRPr="005061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943C7"/>
    <w:multiLevelType w:val="hybridMultilevel"/>
    <w:tmpl w:val="E29290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AC0E9B"/>
    <w:multiLevelType w:val="hybridMultilevel"/>
    <w:tmpl w:val="28CEB818"/>
    <w:lvl w:ilvl="0" w:tplc="04100001">
      <w:start w:val="1"/>
      <w:numFmt w:val="bullet"/>
      <w:lvlText w:val=""/>
      <w:lvlJc w:val="left"/>
      <w:pPr>
        <w:ind w:left="720" w:hanging="360"/>
      </w:pPr>
      <w:rPr>
        <w:rFonts w:ascii="Symbol" w:hAnsi="Symbol" w:hint="default"/>
      </w:rPr>
    </w:lvl>
    <w:lvl w:ilvl="1" w:tplc="1FE6169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F33385"/>
    <w:multiLevelType w:val="hybridMultilevel"/>
    <w:tmpl w:val="74206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297199"/>
    <w:multiLevelType w:val="hybridMultilevel"/>
    <w:tmpl w:val="B83A40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1B5320"/>
    <w:multiLevelType w:val="hybridMultilevel"/>
    <w:tmpl w:val="643487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31E53C1"/>
    <w:multiLevelType w:val="hybridMultilevel"/>
    <w:tmpl w:val="C86454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893"/>
    <w:rsid w:val="000B01C3"/>
    <w:rsid w:val="00214A62"/>
    <w:rsid w:val="004F4312"/>
    <w:rsid w:val="004F48F7"/>
    <w:rsid w:val="005061D8"/>
    <w:rsid w:val="00723893"/>
    <w:rsid w:val="008134CC"/>
    <w:rsid w:val="008568AA"/>
    <w:rsid w:val="009D0BEE"/>
    <w:rsid w:val="009E2145"/>
    <w:rsid w:val="00A930B6"/>
    <w:rsid w:val="00C40860"/>
    <w:rsid w:val="00CD2357"/>
    <w:rsid w:val="00ED711B"/>
    <w:rsid w:val="00FF5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F751"/>
  <w15:chartTrackingRefBased/>
  <w15:docId w15:val="{8E4DC40A-358A-469F-B034-F9CCB235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23893"/>
    <w:pPr>
      <w:ind w:left="720"/>
      <w:contextualSpacing/>
    </w:pPr>
  </w:style>
  <w:style w:type="character" w:styleId="Testosegnaposto">
    <w:name w:val="Placeholder Text"/>
    <w:basedOn w:val="Carpredefinitoparagrafo"/>
    <w:uiPriority w:val="99"/>
    <w:semiHidden/>
    <w:rsid w:val="00C40860"/>
    <w:rPr>
      <w:color w:val="808080"/>
    </w:rPr>
  </w:style>
  <w:style w:type="paragraph" w:styleId="Nessunaspaziatura">
    <w:name w:val="No Spacing"/>
    <w:uiPriority w:val="1"/>
    <w:qFormat/>
    <w:rsid w:val="008134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1720</Words>
  <Characters>9804</Characters>
  <Application>Microsoft Office Word</Application>
  <DocSecurity>0</DocSecurity>
  <Lines>81</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Scarparo, Elia</dc:creator>
  <cp:keywords/>
  <dc:description/>
  <cp:lastModifiedBy>Scarparo, Elia</cp:lastModifiedBy>
  <cp:revision>1</cp:revision>
  <dcterms:created xsi:type="dcterms:W3CDTF">2018-04-12T14:01:00Z</dcterms:created>
  <dcterms:modified xsi:type="dcterms:W3CDTF">2018-04-12T16:25:00Z</dcterms:modified>
</cp:coreProperties>
</file>