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(25.–75. persentil),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2026-04-21T13:55:52Z</dcterms:modified>
  <cp:category/>
</cp:coreProperties>
</file>