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5. Etterlevelse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(n=48)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Gj.snitt (SD), %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81.6 (18.1)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 (21.2)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78.0 (20.0)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(25.–75. persentil),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(75.0–95.8)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(66.7–91.7)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(70.8–91.7)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Etterlevelse i den digitale og stedlige intervensjonsgruppen, presentert som prosent. Etterlevelse er beregnet som andel gjennomførte økter av totalt 24 planlagte økter (2 økter per uke × 12 uker). P-verdi er beregnet med Wilcoxon rank-sum test. 2 deltakere er ekskludert fra etterlevelsesanalysen grunnet manglende eller ugyldig oppmøteregistrering (n = 48).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2026-05-13T21:08:10Z</dcterms:modified>
  <cp:category/>
</cp:coreProperties>
</file>