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gridSpan w:val="4"/>
            <w:tcBorders>
              <w:bottom w:val="single" w:sz="12" w:space="0" w:color="666666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Tabell 1. Baseline-karakteristikker fordelt på gruppe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4" w:space="0" w:color="999999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Digital hjemmetrening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(n=17)</w:t>
            </w:r>
          </w:p>
        </w:tc>
        <w:tc>
          <w:tcPr>
            <w:tcBorders>
              <w:bottom w:val="single" w:sz="4" w:space="0" w:color="999999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Veiledet stedlig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(n=14)</w:t>
            </w:r>
          </w:p>
        </w:tc>
        <w:tc>
          <w:tcPr>
            <w:tcBorders>
              <w:bottom w:val="single" w:sz="4" w:space="0" w:color="999999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Totalt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(n=31)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Kvinner, n (%)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 (76%)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 (93%)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 (84%)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Aldersgruppe (WHO), n (%)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Unge voksne (18–44 år)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Middelaldrende (45–59 år)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 (35%)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Eldre voksne (60–74 år)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 (79%)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 (61%)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Gamle eldre (75+ år)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Kreftform, n (%)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Blodkreft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(10%)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Brystkreft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 (42%)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Gynkreft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(10%)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Lungekreft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Lymfekreft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(16%)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Mage-tarmkreft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(6%)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Melanom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Munn og svelg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Prostata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(6%)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(7%)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(6%)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Dager siden siste behandling, gj.snitt (SD)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868.8 (693.6)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435.0 (599.4)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701.9 (681.4)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Kroppsvekt, kg, gj.snitt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78.5 (10.9)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73.7 (19.4)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76.4 (15.2)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Høyde, cm, gj.snitt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170.7 (7.7)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167.6 (7.4)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169.3 (7.6)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BMI, kg/m², gj.snitt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27.0 (3.7)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26.0 (5.5)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26.6 (4.6)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Midjeomkrets, cm, gj.snitt (SD)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93.3 (9.2)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89.6 (17.6)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91.7 (13.5)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Mager masse (LBM), g, gj.snitt (SD)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47530.6 (7598.3)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44282.9 (9227.1)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46063.9 (8389.5)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fettmasse, g, gj.snitt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29207.3 (7263.9)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27363.9 (12225.4)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28374.8 (9683.8)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fettprosent, %, gj.snitt (SD)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37.9 (6.5)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36.8 (8.6)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37.4 (7.4)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SD = standardavvik; LBM = lean body mass (mager kroppsmasse). For n = 6 deltakere der kroppen oversteg måleområdet til DXA-maskinen, ble offset-scanning benyttet med programvareestimert venstreside, i tråd med International Society for Clinical Densitometry (ISCD, 2023).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2026-03-18T16:52:27Z</dcterms:modified>
  <cp:category/>
</cp:coreProperties>
</file>