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1. Baseline-karakteristikker fordelt på gruppe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(n=21)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(n=50)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Kvinner, n (%)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 (72%)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Aldersgruppe (WHO),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Unge voksne (18–44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Middelaldrende (45–59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Eldre voksne (60–74 år)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Gamle eldre (75+ år)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(28%)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(16%)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Kreftform, n (%)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0.575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Beinkreft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Blodkreft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Brystkreft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Bukspyttkjertelkreft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Gynkreft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Lungekreft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Lymfekreft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Mage-tarmkreft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Melanom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Munn og svelg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Prostata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(10%)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Behandlingstype, n (%)¹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Cellegift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Stråling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Immunterapi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Kirurgi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Stamcellebehandling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Legemidler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Annet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Dager siden siste behandling, gj.snitt (SD)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3120.6 (10092.1)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653.3 (628.8)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1774.8 (6838.1)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Antropometri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Kroppsvekt,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78.9 (10.2)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77.3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Høyde, 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170.9 (8.9)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171.3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171.1 (8.4)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27.1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26.4 (4.3)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Midjeomkrets, cm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93.9 (9.9)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91.4 (14.5)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92.5 (12.7)</w:t>
            </w:r>
          </w:p>
        </w:tc>
        <w:tc>
          <w:tcPr>
            <w:tcBorders>
              <w:bottom w:val="single" w:sz="4" w:space="0" w:color="999999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DXA-målinger (pre), gj.snitt (SD)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Mager masse (LBM),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47749 (8047)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47550 (9115)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47633 (8598)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fettmasse, 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29271 (8206)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26817 (9611)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27847 (9043)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Total fettprosent,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 (8.2)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35.4 (8.0)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36.4 (8.1)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¹ Kategoriene er ikke gjensidig utelukkende; en deltaker kan ha mottatt flere behandlingstyper. SD = standardavvik; LBM = lean body mass (mager kroppsmasse). For n = 14 deltakere der kroppen oversteg måleområdet til DXA-maskinen, ble offset-scanning benyttet med programvareestimert venstreside, i tråd med International Society for Clinical Densitometry (ISCD, 2023). P-verdier for kategoriske variabler er beregnet med Fisher’s eksakte test; for kontinuerlige variabler er Wilcoxon rank-sum test benyttet.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2026-04-21T13:58:53Z</dcterms:modified>
  <cp:category/>
</cp:coreProperties>
</file>