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1584"/>
        <w:gridCol w:w="1584"/>
        <w:gridCol w:w="1584"/>
      </w:tblGrid>
      <w:tr>
        <w:trPr>
          <w:trHeight w:val="360" w:hRule="auto"/>
          <w:tblHeader/>
        </w:trPr>
        <w:tc>
          <w:tcPr>
            <w:gridSpan w:val="4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Tabell 1. Baseline-karakteristikker fordelt på gruppe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 hjemmetrening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(n=17)</w:t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Veiledet 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(n=14)</w:t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(76%)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(93%)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(84%)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(61%)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(71%)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(52%)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(48%)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868.8 (693.6)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435.0 (599.4)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701.9 (681.4)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73.7 (19.4)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76.4 (15.2)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170.7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167.6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169.3 (7.6)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26.0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 (4.6)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(9.2)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89.6 (17.6)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91.7 (13.5)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DXA-målinger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Mager masse (LBM),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47531 (7598)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44283 (9227)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46064 (8390)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fettmasse,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29207 (7264)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27364 (12225)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28375 (9684)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fettprosent,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37.9 (6.5)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 (8.6)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37.4 (7.4)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¹ Kategoriene er ikke gjensidig utelukkende; en deltaker kan ha mottatt flere behandlingstyper. SD = standardavvik; LBM = lean body mass (mager kroppsmasse). For n = 6 deltakere der kroppen oversteg måleområdet til DXA-maskinen, ble offset-scanning benyttet med programvareestimert venstreside, i tråd med International Society for Clinical Densitometry (ISCD, 2023).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2026-03-18T17:47:58Z</dcterms:modified>
  <cp:category/>
</cp:coreProperties>
</file>