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4.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(n=70)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(69%)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(74%)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Alder, år — median (IQR)⁴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 (52–68)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 (58–72)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 (53–71)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Blastrom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Blærekreft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Nyrekreft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Testikkelkreft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median (IQR)³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588 (348–1546)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488 (172–1110)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556 (194–1394)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(SD)²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80.8 (14.1)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77.6 (15.6)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79.2 (14.9)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170.6 (8.7)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171.5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171.0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27.8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96.8 (12.8)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89.7 (21.7)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(18.0)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standardavvik. P-verdier for kategoriske variabler er beregnet med Fisher’s eksakte test; for kontinuerlige variabler er Wilcoxon rank-sum test benyttet. ² Antropometri ved pre-test mangler for én deltaker; n = 69 for disse radene. ³ Dager siden siste behandling mangler for 11 deltakere grunnet manglende data; n = 59 for denne raden. ⁴ Alder (median og IQR) er oppgitt av stipendiat tilknyttet REACT-prosjektet og er ikke beregnet direkte fra rådata i dette skriptet.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2026-05-15T00:21:43Z</dcterms:modified>
  <cp:category/>
</cp:coreProperties>
</file>