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Tabell 4. Baseline-karakteristikker fordelt på gruppe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76"/>
        <w:gridCol w:w="1296"/>
        <w:gridCol w:w="1296"/>
        <w:gridCol w:w="1296"/>
        <w:gridCol w:w="1008"/>
      </w:tblGrid>
      <w:tr>
        <w:trPr>
          <w:trHeight w:val="360" w:hRule="auto"/>
          <w:tblHeader/>
        </w:trPr>
        <w:tc>
          <w:tcPr>
            <w:tcBorders>
              <w:bottom w:val="single" w:sz="4" w:space="0" w:color="999999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Digital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(n=35)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Stedlig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(n=35)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Totalt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(n=70)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p-verdi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Kvinner, n (%)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 (69%)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 (74%)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 (71%)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Aldersgruppe (WHO), n (%)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0.043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Unge voksne (18–44 år)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Middelaldrende (45–59 år)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Eldre voksne (60–74 år)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Gamle eldre (75+ år)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(9%)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(23%)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 (16%)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Kreftform, n (%)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0.481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Annet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Beinkreft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Blastrom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Blodkreft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Blærekreft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Brystkreft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Bukspyttkjertelkreft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Gynkreft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Lungekreft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Lymfekreft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Mage-tarmkreft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 (9%)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Melanom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Munn og svelg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Nyrekreft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Prostata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(6%)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(14%)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(10%)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Testikkelkreft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(3%)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(1%)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Behandlingstype, n (%)¹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Cellegift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 (61%)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Stråling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 (46%)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Immunterapi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Kirurgi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 (66%)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Stamcellebehandling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Legemidler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Annet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Dager siden siste behandling, gj.snitt (SD)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3800.6 (11261.4)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679.4 (644.5)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2265.6 (8129.3)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Antropometri (pre), gj.snitt (SD)</w:t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99999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Kroppsvekt, kg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80.8 (14.1)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77.1 (15.5)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79.0 (14.8)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Høyde, cm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170.6 (8.7)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171.1 (7.9)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170.8 (8.3)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BMI, kg/m²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27.8 (4.9)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26.3 (4.8)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27.1 (4.9)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Midjeomkrets, cm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96.8 (12.8)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89.7 (21.7)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93.3 (18.0)</w:t>
            </w:r>
          </w:p>
        </w:tc>
        <w:tc>
          <w:tcPr>
            <w:tcBorders>
              <w:bottom w:val="single" w:sz="4" w:space="0" w:color="999999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0.090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16"/>
          <w:szCs w:val="16"/>
          <w:color w:val="000000"/>
        </w:rPr>
        <w:t xml:space="preserve">¹ Kategoriene er ikke gjensidig utelukkende; en deltaker kan ha mottatt flere behandlingstyper. SD = standardavvik. P-verdier for kategoriske variabler er beregnet med Fisher’s eksakte test; for kontinuerlige variabler er Wilcoxon rank-sum test benyttet.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2026-04-21T14:48:55Z</dcterms:modified>
  <cp:category/>
</cp:coreProperties>
</file>