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4.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(n=70)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(69%)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(74%)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0.478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Blastrom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Blærekreft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Nyrekreft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Testikkelkreft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3800.6 (11261.4)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679.4 (644.5)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2265.6 (8129.3)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(SD)²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80.8 (14.1)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77.1 (15.5)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79.0 (14.8)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170.6 (8.7)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170.8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27.8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96.8 (12.8)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89.7 (21.7)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(18.0)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standardavvik. P-verdier for kategoriske variabler er beregnet med Fisher’s eksakte test; for kontinuerlige variabler er Wilcoxon rank-sum test benyttet. ² Antropometri ved pre-test mangler for én deltaker; n = 69 for disse radene.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2026-04-21T15:17:31Z</dcterms:modified>
  <cp:category/>
</cp:coreProperties>
</file>