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(n=48)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 (18.1)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 (21.2)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78.0 (20.0)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(75.0–95.8)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(70.8–91.7)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2026-04-21T15:17:31Z</dcterms:modified>
  <cp:category/>
</cp:coreProperties>
</file>