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1.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(n=21)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(n=50)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(72%)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 (72%)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0.578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3120.6 (10092.1)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653.3 (628.8)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1774.8 (6838.1)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78.9 (10.2)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76.0 (15.2)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77.3 (13.2)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170.9 (8.9)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171.3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171.1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25.9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26.4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93.9 (9.9)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91.4 (14.5)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92.5 (12.7)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DXA-målinger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Mager masse (LBM),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47749 (8047)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47550 (9115)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47633 (8598)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fettmasse,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29271 (8206)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26817 (9611)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27847 (9043)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fettprosent,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 (8.2)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35.4 (8.0)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36.4 (8.1)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standardavvik; LBM = lean body mass (mager kroppsmasse). For n = 14 deltakere der kroppen oversteg måleområdet til DXA-maskinen, ble offset-scanning benyttet med programvareestimert venstreside, i tråd med International Society for Clinical Densitometry (ISCD, 2023). P-verdier for kategoriske variabler er beregnet med Fisher’s eksakte test; for kontinuerlige variabler er Wilcoxon rank-sum test benyttet.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2026-04-20T12:45:45Z</dcterms:modified>
  <cp:category/>
</cp:coreProperties>
</file>