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i den digitale og stedlige intervensjonsgruppen, presentert som prosent. 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2026-05-07T15:10:18Z</dcterms:modified>
  <cp:category/>
</cp:coreProperties>
</file>