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 5. Etterlevelse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76"/>
        <w:gridCol w:w="1296"/>
        <w:gridCol w:w="1296"/>
        <w:gridCol w:w="1296"/>
        <w:gridCol w:w="1008"/>
      </w:tblGrid>
      <w:tr>
        <w:trPr>
          <w:trHeight w:val="360" w:hRule="auto"/>
          <w:tblHeader/>
        </w:trPr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Digital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(n=20)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Stedlig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(n=29)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(n=49)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p-verdi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Gj.snitt (SD), %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74.0 (30.7)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 (21.2)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75.0 (25.2)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(25.–75. persentil),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(71.9–95.8)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(66.7–91.7)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(66.7–91.7)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16"/>
          <w:szCs w:val="16"/>
          <w:color w:val="000000"/>
        </w:rPr>
        <w:t xml:space="preserve">Etterlevelse er beregnet som andel gjennomførte økter av totalt 24 planlagte økter (2 økter per uke × 12 uker). P-verdi er beregnet med Wilcoxon rank-sum test. 1 deltaker mangler oppmøteregistrering og er ikke inkludert i beregningen (n = 49).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2026-04-20T12:59:26Z</dcterms:modified>
  <cp:category/>
</cp:coreProperties>
</file>