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1.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(n=21)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(n=50)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0.577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3120.6 (10092.1)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653.3 (628.8)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1774.8 (6838.1)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78.9 (10.2)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76.0 (15.2)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77.3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170.9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171.3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25.9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26.4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93.9 (9.9)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91.4 (14.5)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92.5 (12.7)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DXA-målinger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Mager masse (LBM),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47749 (8047)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47550 (9115)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47633 (8598)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fettmasse,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29271 (8206)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26817 (9611)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27847 (9043)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fettprosent,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 (8.2)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35.4 (8.0)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 (8.1)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standardavvik; LBM = lean body mass (mager kroppsmasse). For n = 14 deltakere der kroppen oversteg måleområdet til DXA-maskinen, ble offset-scanning benyttet med programvareestimert venstreside, i tråd med International Society for Clinical Densitometry (ISCD, 2023). P-verdier for kategoriske variabler er beregnet med Fisher’s eksakte test; for kontinuerlige variabler er Wilcoxon rank-sum test benyttet.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2026-04-19T16:38:49Z</dcterms:modified>
  <cp:category/>
</cp:coreProperties>
</file>