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(n=70)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 (69%)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(74%)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0.487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Blastrom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Blærekreft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Nyrekreft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Testikkelkreft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3800.6 (11261.4)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679.4 (644.5)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2265.6 (8129.3)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 (14.1)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79.0 (14.8)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170.6 (8.7)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170.8 (8.3)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27.8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26.3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96.8 (12.8)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 (21.7)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93.3 (18.0)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DXA-målinger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Mager masse (LBM),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47749 (8047)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47550 (9115)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47633 (8598)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fettmasse,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29271 (8206)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26817 (9611)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27847 (9043)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fettprosent,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 (8.2)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 (8.0)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 (8.1)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standardavvik; LBM = lean body mass (mager kroppsmasse). For n = 14 deltakere der kroppen oversteg måleområdet til DXA-maskinen, ble offset-scanning benyttet med programvareestimert venstreside, i tråd med International Society for Clinical Densitometry (ISCD, 2023). P-verdier for kategoriske variabler er beregnet med Fisher’s eksakte test; for kontinuerlige variabler er Wilcoxon rank-sum test benyttet.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2026-04-21T14:43:52Z</dcterms:modified>
  <cp:category/>
</cp:coreProperties>
</file>