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Tabell 5. Etterlevelse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176"/>
        <w:gridCol w:w="1296"/>
        <w:gridCol w:w="1296"/>
        <w:gridCol w:w="1296"/>
        <w:gridCol w:w="1008"/>
      </w:tblGrid>
      <w:tr>
        <w:trPr>
          <w:trHeight w:val="360" w:hRule="auto"/>
          <w:tblHeader/>
        </w:trPr>
        <w:tc>
          <w:tcPr>
            <w:tcBorders>
              <w:bottom w:val="single" w:sz="4" w:space="0" w:color="999999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Digital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(n=19)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Stedlig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(n=29)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Totalt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(n=48)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p-verdi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Gj.snitt (SD), %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81.6 (18.1)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75.7 (21.2)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78.0 (20.0)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0.305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Median (25.–75. persentil), %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87.5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(75.0–95.8)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83.3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(66.7–91.7)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83.3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(70.8–91.7)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true"/>
          <w:b w:val="false"/>
          <w:u w:val="none"/>
          <w:strike w:val="false"/>
          <w:sz w:val="16"/>
          <w:szCs w:val="16"/>
          <w:color w:val="000000"/>
        </w:rPr>
        <w:t xml:space="preserve">Etterlevelse er beregnet som andel gjennomførte økter av totalt 24 planlagte økter (2 økter per uke × 12 uker). P-verdi er beregnet med Wilcoxon rank-sum test. 2 deltakere er ekskludert fra etterlevelsesanalysen grunnet manglende eller ugyldig oppmøteregistrering (n = 48).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2026-04-21T14:02:27Z</dcterms:modified>
  <cp:category/>
</cp:coreProperties>
</file>