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4.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(n=50)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(28%)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0.571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3120.6 (10092.1)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653.3 (628.8)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1774.8 (6838.1)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78.9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 (15.2)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77.3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171.3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26.4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 (9.9)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91.4 (14.5)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92.5 (12.7)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47749 (8047)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47550 (9115)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47633 (8598)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29271 (8206)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26817 (9611)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27847 (9043)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 (8.2)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 (8.0)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 (8.1)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standardavvik; LBM = lean body mass (mager kroppsmasse). For n = 14 deltakere der kroppen oversteg måleområdet til DXA-maskinen, ble offset-scanning benyttet med programvareestimert venstreside, i tråd med International Society for Clinical Densitometry (ISCD, 2023). P-verdier for kategoriske variabler er beregnet med Fisher’s eksakte test; for kontinuerlige variabler er Wilcoxon rank-sum test benyttet.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2026-04-21T14:02:26Z</dcterms:modified>
  <cp:category/>
</cp:coreProperties>
</file>