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90168E" w:rsidRDefault="0090168E">
      <w:pPr>
        <w:pStyle w:val="berschrift1"/>
        <w:rPr>
          <w:lang w:val="en-US"/>
        </w:rPr>
      </w:pPr>
      <w:proofErr w:type="spellStart"/>
      <w:r w:rsidRPr="0090168E">
        <w:rPr>
          <w:lang w:val="en-US"/>
        </w:rPr>
        <w:t>Literaturverzeichnis</w:t>
      </w:r>
      <w:proofErr w:type="spellEnd"/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 xml:space="preserve">Abramson, Darren (2006): Intel(R) Virtualization Technology for Directed I/O. In: </w:t>
      </w:r>
      <w:r w:rsidRPr="0090168E">
        <w:rPr>
          <w:i/>
          <w:lang w:val="en-US"/>
        </w:rPr>
        <w:t xml:space="preserve">ITJ </w:t>
      </w:r>
      <w:r w:rsidRPr="0090168E">
        <w:rPr>
          <w:lang w:val="en-US"/>
        </w:rPr>
        <w:t>10 (03).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 xml:space="preserve">Boutcher, David; Chandra, Abhishek (2010): </w:t>
      </w:r>
      <w:r w:rsidRPr="0090168E">
        <w:rPr>
          <w:lang w:val="en-US"/>
        </w:rPr>
        <w:t xml:space="preserve">Does virtualization make disk scheduling passé? </w:t>
      </w:r>
      <w:r>
        <w:t xml:space="preserve">In: </w:t>
      </w:r>
      <w:r>
        <w:rPr>
          <w:i/>
        </w:rPr>
        <w:t xml:space="preserve">SIGOPS Oper. Syst. Rev </w:t>
      </w:r>
      <w:r>
        <w:t>44, S. 20‐24. Online verfügbar unter http://doi.acm.org/10.1145/1740390.1740396.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 xml:space="preserve">Campbell, Andrew; Coulson, Geoff; Hutchison, David (1994): A quality of service architecture. In: </w:t>
      </w:r>
      <w:r w:rsidRPr="0090168E">
        <w:rPr>
          <w:i/>
          <w:lang w:val="en-US"/>
        </w:rPr>
        <w:t>SI</w:t>
      </w:r>
      <w:r w:rsidRPr="0090168E">
        <w:rPr>
          <w:i/>
          <w:lang w:val="en-US"/>
        </w:rPr>
        <w:t xml:space="preserve">GCOMM Comput. Commun. Rev </w:t>
      </w:r>
      <w:r w:rsidRPr="0090168E">
        <w:rPr>
          <w:lang w:val="en-US"/>
        </w:rPr>
        <w:t>24 (2), S. 6–27.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 xml:space="preserve">Chen, Peter M.; Patterson, David A. (1994): A new approach to I/O performance evaluation: self-scaling I/O benchmarks, predicted I/O performance. In: </w:t>
      </w:r>
      <w:r w:rsidRPr="0090168E">
        <w:rPr>
          <w:i/>
          <w:lang w:val="en-US"/>
        </w:rPr>
        <w:t xml:space="preserve">ACM Trans. Comput. Syst </w:t>
      </w:r>
      <w:r w:rsidRPr="0090168E">
        <w:rPr>
          <w:lang w:val="en-US"/>
        </w:rPr>
        <w:t>12 (4), S. 308–339.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>Govindan, Sriram; N</w:t>
      </w:r>
      <w:r w:rsidRPr="0090168E">
        <w:rPr>
          <w:lang w:val="en-US"/>
        </w:rPr>
        <w:t xml:space="preserve">ath, Arjun R.; Das, Amitayu; Urgaonkar, Bhuvan; Sivasubramaniam, Anand (Hg.) (2007): Xen and co.: communication-aware CPU scheduling for consolidated xen-based hosting platforms. </w:t>
      </w:r>
      <w:r>
        <w:t>New York, NY, USA: ACM (VEE ‘07). Online verfügbar unter http://doi.acm.org/1</w:t>
      </w:r>
      <w:r>
        <w:t>0.1145/1254810.1254828.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 xml:space="preserve">Gum, P. H. (1983): System/370 extended architecture: facilities for virtual machines. </w:t>
      </w:r>
      <w:r>
        <w:t xml:space="preserve">In: </w:t>
      </w:r>
      <w:r>
        <w:rPr>
          <w:i/>
        </w:rPr>
        <w:t xml:space="preserve">IBM J. Res. Dev </w:t>
      </w:r>
      <w:r>
        <w:t>27, S. 530‐544. Online verfügbar unter http://dx.doi.org/10.1147/rd.276.0530.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>Hanemann, Andreas; Liakopoulos, Athanassios; Mol</w:t>
      </w:r>
      <w:r w:rsidRPr="0090168E">
        <w:rPr>
          <w:lang w:val="en-US"/>
        </w:rPr>
        <w:t xml:space="preserve">ina, Maurizio; Swany, D. Martin (2006): A study on network performance metrics and their composition. In: </w:t>
      </w:r>
      <w:r w:rsidRPr="0090168E">
        <w:rPr>
          <w:i/>
          <w:lang w:val="en-US"/>
        </w:rPr>
        <w:t xml:space="preserve">Campus-Wide Information Systems </w:t>
      </w:r>
      <w:r w:rsidRPr="0090168E">
        <w:rPr>
          <w:lang w:val="en-US"/>
        </w:rPr>
        <w:t>23 (4), S. 268–282.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>Kim, Hwanju; Lim, Hyeontaek; Jeong, Jinkyu; Jo, Heeseung; Lee, Joonwon (Hg.) (2009): Task-aware vi</w:t>
      </w:r>
      <w:r w:rsidRPr="0090168E">
        <w:rPr>
          <w:lang w:val="en-US"/>
        </w:rPr>
        <w:t xml:space="preserve">rtual machine scheduling for I/O performance. </w:t>
      </w:r>
      <w:r>
        <w:t>New York, NY, USA: ACM (VEE ‘09). Online verfügbar unter http://doi.acm.org/10.1145/1508293.1508308.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 xml:space="preserve">Ongaro, Diego; Cox, Alan L.; Rixner, Scott (Hg.) (2008): Scheduling I/O in virtual machine monitors. </w:t>
      </w:r>
      <w:r>
        <w:t>New York</w:t>
      </w:r>
      <w:r>
        <w:t>, NY, USA: ACM (VEE ‘08). Online verfügbar unter http://doi.acm.org/10.1145/1346256.1346258.</w:t>
      </w:r>
    </w:p>
    <w:p w:rsidR="00325292" w:rsidRDefault="0090168E">
      <w:pPr>
        <w:pStyle w:val="CitaviLiteraturverzeichnis"/>
      </w:pPr>
      <w:r>
        <w:t xml:space="preserve">Raj, Himanshu; Schwan, Karsten (Hg.) </w:t>
      </w:r>
      <w:r w:rsidRPr="0090168E">
        <w:rPr>
          <w:lang w:val="en-US"/>
        </w:rPr>
        <w:t xml:space="preserve">(2007): High performance and scalable I/O virtualization via self-virtualized devices. </w:t>
      </w:r>
      <w:r>
        <w:t>New York, NY, USA: ACM (HPDC ‘07). Onli</w:t>
      </w:r>
      <w:r>
        <w:t>ne verfügbar unter http://doi.acm.org/10.1145/1272366.1272390.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>S Terry Brugger (2007): An Approach for Computer Network Comparison.</w:t>
      </w:r>
    </w:p>
    <w:p w:rsidR="00325292" w:rsidRDefault="0090168E">
      <w:pPr>
        <w:pStyle w:val="CitaviLiteraturverzeichnis"/>
      </w:pPr>
      <w:r w:rsidRPr="0090168E">
        <w:rPr>
          <w:lang w:val="en-US"/>
        </w:rPr>
        <w:t>Seelam, Seetharami R.; Teller, Patricia J. (Hg.) (2007): Virtual I/O scheduler: a scheduler of schedulers for performance vi</w:t>
      </w:r>
      <w:r w:rsidRPr="0090168E">
        <w:rPr>
          <w:lang w:val="en-US"/>
        </w:rPr>
        <w:t xml:space="preserve">rtualization. </w:t>
      </w:r>
      <w:r>
        <w:t>New York, NY, USA: ACM (VEE ‘07). Online verfügbar unter http://doi.acm.org/10.1145/1254810.1254826.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 xml:space="preserve">Seitz, N. (2003): ITU-T QoS standards for IP-based networks. In: </w:t>
      </w:r>
      <w:r w:rsidRPr="0090168E">
        <w:rPr>
          <w:i/>
          <w:lang w:val="en-US"/>
        </w:rPr>
        <w:t xml:space="preserve">IEEE Commun. Mag </w:t>
      </w:r>
      <w:r w:rsidRPr="0090168E">
        <w:rPr>
          <w:lang w:val="en-US"/>
        </w:rPr>
        <w:t>41 (6), S. 82–89.</w:t>
      </w:r>
    </w:p>
    <w:p w:rsidR="00325292" w:rsidRPr="0090168E" w:rsidRDefault="0090168E">
      <w:pPr>
        <w:pStyle w:val="CitaviLiteraturverzeichnis"/>
        <w:rPr>
          <w:lang w:val="en-US"/>
        </w:rPr>
      </w:pPr>
      <w:r w:rsidRPr="0090168E">
        <w:rPr>
          <w:lang w:val="en-US"/>
        </w:rPr>
        <w:t>Valero, Mateo; Baylor, Sandra Johnson; Be</w:t>
      </w:r>
      <w:r w:rsidRPr="0090168E">
        <w:rPr>
          <w:lang w:val="en-US"/>
        </w:rPr>
        <w:t>nveniste, Caroline; Hsu, Yarsun (1995): Performance evaluation of a parallel I/O architecture. In: Proceedings of the 9th international conference on Supercomputing - ICS '95: ACM Press, S. 404–413.</w:t>
      </w:r>
    </w:p>
    <w:p w:rsidR="00325292" w:rsidRDefault="0090168E">
      <w:pPr>
        <w:pStyle w:val="CitaviLiteraturverzeichnis"/>
      </w:pPr>
      <w:r>
        <w:t>Weng, Chuliang; Wang, Zhigang; Li, Minglu; Lu, Xinda (Hg.</w:t>
      </w:r>
      <w:r>
        <w:t xml:space="preserve">) </w:t>
      </w:r>
      <w:r w:rsidRPr="0090168E">
        <w:rPr>
          <w:lang w:val="en-US"/>
        </w:rPr>
        <w:t xml:space="preserve">(2009): The hybrid scheduling framework for virtual machine systems. </w:t>
      </w:r>
      <w:r>
        <w:t>New York, NY, USA: ACM (VEE ‘09). Online verfügbar unter http://doi.acm.org/10.1145/1508293.1508309.</w:t>
      </w:r>
    </w:p>
    <w:p w:rsidR="00325292" w:rsidRDefault="0090168E">
      <w:pPr>
        <w:pStyle w:val="CitaviLiteraturverzeichnis"/>
      </w:pPr>
      <w:r>
        <w:t xml:space="preserve">Xia, Lei; Kumar, Sanjay; Yang, Xue; Gopalakrishnan, Praveen; Liu, York; Schoenberg, </w:t>
      </w:r>
      <w:r>
        <w:t xml:space="preserve">Sebastian; Guo, Xingang (Hg.) </w:t>
      </w:r>
      <w:r w:rsidRPr="0090168E">
        <w:rPr>
          <w:lang w:val="en-US"/>
        </w:rPr>
        <w:t xml:space="preserve">(2011): Virtual WiFi: bring virtualization from wired to wireless. New York, NY, USA: ACM (VEE ‘11). </w:t>
      </w:r>
      <w:r>
        <w:t>Online verfügbar unter http://doi.acm.org/10.1145/1952682.1952706.</w:t>
      </w:r>
    </w:p>
    <w:sectPr w:rsidR="00325292" w:rsidSect="00325292"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292"/>
    <w:rsid w:val="00325292"/>
    <w:rsid w:val="0090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25292"/>
    <w:rPr>
      <w:rFonts w:ascii="Segoe UI" w:eastAsia="Segoe UI" w:hAnsi="Segoe UI" w:cs="Segoe UI"/>
      <w:szCs w:val="24"/>
    </w:rPr>
  </w:style>
  <w:style w:type="paragraph" w:styleId="berschrift1">
    <w:name w:val="heading 1"/>
    <w:basedOn w:val="Standard"/>
    <w:next w:val="Standard"/>
    <w:qFormat/>
    <w:rsid w:val="00EF7B96"/>
    <w:pPr>
      <w:keepNext/>
      <w:keepLines/>
      <w:pageBreakBefore/>
      <w:suppressAutoHyphens/>
      <w:spacing w:after="720"/>
      <w:outlineLvl w:val="0"/>
    </w:pPr>
    <w:rPr>
      <w:b/>
      <w:bCs/>
      <w:kern w:val="32"/>
      <w:sz w:val="30"/>
      <w:szCs w:val="32"/>
    </w:rPr>
  </w:style>
  <w:style w:type="paragraph" w:styleId="berschrift2">
    <w:name w:val="heading 2"/>
    <w:basedOn w:val="Standard"/>
    <w:next w:val="Standard"/>
    <w:qFormat/>
    <w:rsid w:val="00EF7B96"/>
    <w:pPr>
      <w:keepNext/>
      <w:keepLines/>
      <w:suppressAutoHyphens/>
      <w:spacing w:before="720" w:after="480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F7B96"/>
    <w:pPr>
      <w:keepNext/>
      <w:keepLines/>
      <w:suppressAutoHyphens/>
      <w:spacing w:before="480" w:after="120"/>
      <w:outlineLvl w:val="2"/>
    </w:pPr>
    <w:rPr>
      <w:b/>
      <w:bCs/>
      <w:i/>
      <w:szCs w:val="26"/>
    </w:rPr>
  </w:style>
  <w:style w:type="paragraph" w:styleId="berschrift4">
    <w:name w:val="heading 4"/>
    <w:basedOn w:val="Standard"/>
    <w:next w:val="Standard"/>
    <w:qFormat/>
    <w:rsid w:val="00EF7B96"/>
    <w:pPr>
      <w:keepNext/>
      <w:keepLines/>
      <w:suppressAutoHyphens/>
      <w:spacing w:before="480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rsid w:val="00EF7B96"/>
    <w:pPr>
      <w:keepNext/>
      <w:keepLines/>
      <w:suppressAutoHyphens/>
      <w:spacing w:before="48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EF7B96"/>
    <w:pPr>
      <w:keepNext/>
      <w:keepLines/>
      <w:suppressAutoHyphens/>
      <w:spacing w:before="480"/>
      <w:outlineLvl w:val="5"/>
    </w:pPr>
    <w:rPr>
      <w:bCs/>
      <w:i/>
      <w:szCs w:val="22"/>
    </w:rPr>
  </w:style>
  <w:style w:type="paragraph" w:styleId="berschrift7">
    <w:name w:val="heading 7"/>
    <w:basedOn w:val="Standard"/>
    <w:next w:val="Standard"/>
    <w:qFormat/>
    <w:rsid w:val="00EF7B96"/>
    <w:pPr>
      <w:keepNext/>
      <w:keepLines/>
      <w:suppressAutoHyphens/>
      <w:spacing w:before="480"/>
      <w:outlineLvl w:val="6"/>
    </w:pPr>
    <w:rPr>
      <w:i/>
    </w:rPr>
  </w:style>
  <w:style w:type="paragraph" w:styleId="berschrift8">
    <w:name w:val="heading 8"/>
    <w:basedOn w:val="Standard"/>
    <w:next w:val="Standard"/>
    <w:qFormat/>
    <w:rsid w:val="00EF7B96"/>
    <w:pPr>
      <w:keepNext/>
      <w:keepLines/>
      <w:suppressAutoHyphens/>
      <w:spacing w:before="48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F7B96"/>
    <w:pPr>
      <w:keepNext/>
      <w:keepLines/>
      <w:suppressAutoHyphens/>
      <w:spacing w:before="480"/>
      <w:outlineLvl w:val="8"/>
    </w:pPr>
    <w:rPr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qFormat/>
    <w:rsid w:val="00EF7B96"/>
    <w:pPr>
      <w:keepNext/>
      <w:keepLines/>
      <w:suppressAutoHyphens/>
      <w:spacing w:before="480" w:after="120"/>
      <w:outlineLvl w:val="1"/>
    </w:pPr>
    <w:rPr>
      <w:b/>
      <w:color w:val="15428B"/>
    </w:rPr>
  </w:style>
  <w:style w:type="paragraph" w:styleId="Funotentext">
    <w:name w:val="footnote text"/>
    <w:basedOn w:val="Standard"/>
    <w:rsid w:val="00805BCE"/>
    <w:pPr>
      <w:ind w:left="227" w:hanging="227"/>
    </w:pPr>
    <w:rPr>
      <w:sz w:val="16"/>
      <w:szCs w:val="20"/>
    </w:rPr>
  </w:style>
  <w:style w:type="paragraph" w:customStyle="1" w:styleId="CitaviLiteraturverzeichnis">
    <w:name w:val="Citavi Literaturverzeichnis"/>
    <w:basedOn w:val="Standard"/>
    <w:rsid w:val="00325292"/>
    <w:pPr>
      <w:spacing w:after="12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Steindl</cp:lastModifiedBy>
  <cp:revision>2</cp:revision>
  <dcterms:created xsi:type="dcterms:W3CDTF">2011-05-25T06:07:00Z</dcterms:created>
  <dcterms:modified xsi:type="dcterms:W3CDTF">2011-05-25T06:07:00Z</dcterms:modified>
</cp:coreProperties>
</file>