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339" w:rsidRDefault="00B74339"/>
    <w:p w:rsidR="00B74339" w:rsidRDefault="00B74339"/>
    <w:p w:rsidR="00B74339" w:rsidRDefault="008C05CF">
      <w:pPr>
        <w:pStyle w:val="Titre"/>
      </w:pPr>
      <w:r>
        <w:t>Catalogue de Données SIA</w:t>
      </w:r>
    </w:p>
    <w:p w:rsidR="00B74339" w:rsidRDefault="008C05CF">
      <w:pPr>
        <w:pStyle w:val="Sous-titre"/>
      </w:pPr>
      <w:r>
        <w:t>Manuel de l'utilisateur</w:t>
      </w:r>
    </w:p>
    <w:p w:rsidR="00B74339" w:rsidRDefault="008C05CF">
      <w:pPr>
        <w:pStyle w:val="Corpsdetexte"/>
      </w:pPr>
      <w:r>
        <w:t>Mise à jour : 1</w:t>
      </w:r>
      <w:r>
        <w:rPr>
          <w:vertAlign w:val="superscript"/>
        </w:rPr>
        <w:t>er</w:t>
      </w:r>
      <w:r>
        <w:t xml:space="preserve"> juillet 2020</w:t>
      </w:r>
    </w:p>
    <w:p w:rsidR="00B74339" w:rsidRDefault="008C05CF">
      <w:pPr>
        <w:pStyle w:val="Corpsdetexte"/>
      </w:pPr>
      <w:r>
        <w:t>Validation: Philippe Beaudoin, SIA &lt;</w:t>
      </w:r>
      <w:hyperlink r:id="rId7">
        <w:r>
          <w:rPr>
            <w:rStyle w:val="LienInternet"/>
          </w:rPr>
          <w:t>philippe.beaudoin@aviation-civile.gouv.fr</w:t>
        </w:r>
      </w:hyperlink>
      <w:r>
        <w:t>&gt;</w:t>
      </w:r>
    </w:p>
    <w:p w:rsidR="00B74339" w:rsidRDefault="008C05CF">
      <w:pPr>
        <w:pStyle w:val="Titre1"/>
      </w:pPr>
      <w:r>
        <w:t>Introduction</w:t>
      </w:r>
    </w:p>
    <w:p w:rsidR="00B74339" w:rsidRDefault="008C05CF">
      <w:pPr>
        <w:pStyle w:val="Corpsdetexte"/>
      </w:pPr>
      <w:r>
        <w:t>Ce document vise à expliquer au lecteur comment utiliser et interpréter le catalogue de données du SIA, tel que développé par la socié</w:t>
      </w:r>
      <w:r>
        <w:t>té Nilacandi.</w:t>
      </w:r>
    </w:p>
    <w:p w:rsidR="00B74339" w:rsidRDefault="008C05CF">
      <w:pPr>
        <w:pStyle w:val="Titre1"/>
      </w:pPr>
      <w:r>
        <w:t>Structure du catalogue</w:t>
      </w:r>
    </w:p>
    <w:p w:rsidR="00B74339" w:rsidRDefault="008C05CF">
      <w:pPr>
        <w:pStyle w:val="Corpsdetexte"/>
      </w:pPr>
      <w:r>
        <w:t xml:space="preserve">Le catalogue du SIA est basé sur le catalogue de l'OACI, fourni en annexe du document OACI 10066 (PANS-AIM). Il s'agit de plusieurs tableaux au format Microsoft Excel, un par thème de l'information aéronautique, chacun </w:t>
      </w:r>
      <w:r>
        <w:t>comprenant plusieurs feuilles de calcul (les sous-thèmes).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6426"/>
      </w:tblGrid>
      <w:tr w:rsidR="00B74339">
        <w:trPr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En-tte"/>
            </w:pPr>
            <w:r>
              <w:t>Thèmes</w:t>
            </w:r>
          </w:p>
        </w:tc>
        <w:tc>
          <w:tcPr>
            <w:tcW w:w="6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En-tte"/>
            </w:pPr>
            <w:r>
              <w:t>Sous-thèmes</w:t>
            </w:r>
          </w:p>
        </w:tc>
      </w:tr>
      <w:tr w:rsidR="00B74339">
        <w:tc>
          <w:tcPr>
            <w:tcW w:w="3212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8C05CF">
            <w:pPr>
              <w:pStyle w:val="Contenudetableau"/>
            </w:pPr>
            <w:r>
              <w:t>ADHP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Aérodrome-Hélistation</w:t>
            </w:r>
          </w:p>
        </w:tc>
      </w:tr>
      <w:tr w:rsidR="00B74339">
        <w:tc>
          <w:tcPr>
            <w:tcW w:w="321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B74339"/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Piste</w:t>
            </w:r>
          </w:p>
        </w:tc>
      </w:tr>
      <w:tr w:rsidR="00B74339">
        <w:tc>
          <w:tcPr>
            <w:tcW w:w="321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B74339"/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TLOF-FATO</w:t>
            </w:r>
          </w:p>
        </w:tc>
      </w:tr>
      <w:tr w:rsidR="00B74339">
        <w:tc>
          <w:tcPr>
            <w:tcW w:w="321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B74339"/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Aire de trafic-Voie de circulation</w:t>
            </w:r>
          </w:p>
        </w:tc>
      </w:tr>
      <w:tr w:rsidR="00B74339">
        <w:tc>
          <w:tcPr>
            <w:tcW w:w="321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B74339"/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Installation de communication</w:t>
            </w:r>
          </w:p>
        </w:tc>
      </w:tr>
      <w:tr w:rsidR="00B74339">
        <w:tc>
          <w:tcPr>
            <w:tcW w:w="3212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8C05CF">
            <w:pPr>
              <w:pStyle w:val="Contenudetableau"/>
            </w:pPr>
            <w:r>
              <w:t>Aide_radioelec, GNSS, Feux_surface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Aide de radionavigation</w:t>
            </w:r>
          </w:p>
        </w:tc>
      </w:tr>
      <w:tr w:rsidR="00B74339">
        <w:tc>
          <w:tcPr>
            <w:tcW w:w="321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B74339"/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GNSS</w:t>
            </w:r>
          </w:p>
        </w:tc>
      </w:tr>
      <w:tr w:rsidR="00B74339">
        <w:tc>
          <w:tcPr>
            <w:tcW w:w="321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B74339"/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Feux aéronautiques à la surface</w:t>
            </w:r>
          </w:p>
        </w:tc>
      </w:tr>
      <w:tr w:rsidR="00B74339">
        <w:tc>
          <w:tcPr>
            <w:tcW w:w="321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B74339"/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Systèmes spéciaux de navigation</w:t>
            </w:r>
          </w:p>
        </w:tc>
      </w:tr>
      <w:tr w:rsidR="00B74339">
        <w:tc>
          <w:tcPr>
            <w:tcW w:w="3212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8C05CF">
            <w:pPr>
              <w:pStyle w:val="Contenudetableau"/>
            </w:pPr>
            <w:r>
              <w:t>Espaces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Espace aérien ATS</w:t>
            </w:r>
          </w:p>
        </w:tc>
      </w:tr>
      <w:tr w:rsidR="00B74339">
        <w:tc>
          <w:tcPr>
            <w:tcW w:w="321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B74339"/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Espace aérien pour activité spéciale</w:t>
            </w:r>
          </w:p>
        </w:tc>
      </w:tr>
      <w:tr w:rsidR="00B74339">
        <w:tc>
          <w:tcPr>
            <w:tcW w:w="321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B74339"/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Espace aérien pour activités aériennes sportives</w:t>
            </w:r>
          </w:p>
        </w:tc>
      </w:tr>
      <w:tr w:rsidR="00B74339">
        <w:tc>
          <w:tcPr>
            <w:tcW w:w="321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B74339"/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Autre espace aérien réglementé</w:t>
            </w:r>
          </w:p>
        </w:tc>
      </w:tr>
      <w:tr w:rsidR="00B74339">
        <w:tc>
          <w:tcPr>
            <w:tcW w:w="321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B74339"/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Secteurs ATC</w:t>
            </w:r>
          </w:p>
        </w:tc>
      </w:tr>
      <w:tr w:rsidR="00B7433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Obstacles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-</w:t>
            </w:r>
          </w:p>
        </w:tc>
      </w:tr>
      <w:tr w:rsidR="00B74339">
        <w:tc>
          <w:tcPr>
            <w:tcW w:w="3212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8C05CF">
            <w:pPr>
              <w:pStyle w:val="Contenudetableau"/>
            </w:pPr>
            <w:r>
              <w:lastRenderedPageBreak/>
              <w:t>Routes, WPT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Routes ATS</w:t>
            </w:r>
          </w:p>
        </w:tc>
      </w:tr>
      <w:tr w:rsidR="00B74339">
        <w:tc>
          <w:tcPr>
            <w:tcW w:w="321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B74339"/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Point de cheminement</w:t>
            </w:r>
          </w:p>
        </w:tc>
      </w:tr>
      <w:tr w:rsidR="00B74339">
        <w:tc>
          <w:tcPr>
            <w:tcW w:w="321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74339" w:rsidRDefault="00B74339"/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Attente en route</w:t>
            </w:r>
          </w:p>
        </w:tc>
      </w:tr>
    </w:tbl>
    <w:p w:rsidR="00B74339" w:rsidRDefault="00B74339">
      <w:pPr>
        <w:pStyle w:val="Corpsdetexte"/>
      </w:pPr>
    </w:p>
    <w:p w:rsidR="00B74339" w:rsidRDefault="008C05CF">
      <w:pPr>
        <w:pStyle w:val="Titre1"/>
      </w:pPr>
      <w:r>
        <w:t>Structure des sous-thèmes</w:t>
      </w:r>
    </w:p>
    <w:p w:rsidR="00B74339" w:rsidRDefault="008C05CF">
      <w:pPr>
        <w:pStyle w:val="Corpsdetexte"/>
      </w:pPr>
      <w:r>
        <w:t xml:space="preserve">Chaque sous-thème se présente sous la forme d'une feuille de calcul Excel. Un sous-thème est divisé en sujets (colonne A), contenant des propriétés (colonne B) et </w:t>
      </w:r>
      <w:r>
        <w:t>éventuellement des sous-propriétés (colonne C).</w:t>
      </w:r>
    </w:p>
    <w:p w:rsidR="00B74339" w:rsidRDefault="008C05CF">
      <w:pPr>
        <w:pStyle w:val="Corpsdetexte"/>
      </w:pPr>
      <w:r>
        <w:t>Les sous-propriétés, ainsi que les propriétés qui n'ont pas de sous-propriétés, sont ce que l'Annexe 15 de l'OACI définit comme un « attribut », c'est</w:t>
      </w:r>
      <w:r w:rsidR="00D944EB">
        <w:t xml:space="preserve"> </w:t>
      </w:r>
      <w:r>
        <w:t>à</w:t>
      </w:r>
      <w:r w:rsidR="00D944EB">
        <w:t xml:space="preserve"> </w:t>
      </w:r>
      <w:r>
        <w:t>dire une information aéronautique élémentaire.</w:t>
      </w:r>
    </w:p>
    <w:p w:rsidR="00B74339" w:rsidRDefault="00081233">
      <w:pPr>
        <w:pStyle w:val="Corpsdetexte"/>
      </w:pPr>
      <w:r w:rsidRPr="00081233">
        <w:drawing>
          <wp:inline distT="0" distB="0" distL="0" distR="0" wp14:anchorId="0B1C00CE" wp14:editId="69E79991">
            <wp:extent cx="5915025" cy="3807159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147" cy="38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39" w:rsidRDefault="008C05CF">
      <w:pPr>
        <w:pStyle w:val="Titre1"/>
      </w:pPr>
      <w:r>
        <w:t xml:space="preserve">Analyse </w:t>
      </w:r>
      <w:r>
        <w:t>des données SIA</w:t>
      </w:r>
    </w:p>
    <w:p w:rsidR="00B74339" w:rsidRDefault="008C05CF">
      <w:pPr>
        <w:pStyle w:val="Corpsdetexte"/>
      </w:pPr>
      <w:r>
        <w:t>Les colonnes J à U et AD à AF correspondent à la mission d'analyse des données aéronautiques confiée par le SIA à Nilacandi.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5"/>
        <w:gridCol w:w="6240"/>
      </w:tblGrid>
      <w:tr w:rsidR="00B74339">
        <w:trPr>
          <w:tblHeader/>
        </w:trPr>
        <w:tc>
          <w:tcPr>
            <w:tcW w:w="3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En-tte"/>
            </w:pPr>
            <w:r>
              <w:t>Colonne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En-tte"/>
            </w:pPr>
            <w:r>
              <w:t>Description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Propriété hors-catalogue OACI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rPr>
                <w:b/>
                <w:bCs/>
              </w:rPr>
              <w:t>Oui </w:t>
            </w:r>
            <w:r>
              <w:t>: la propriété ne provient pas du catalogue original de l'OACI mais est publiée dans les AIPs France</w:t>
            </w:r>
          </w:p>
          <w:p w:rsidR="00B74339" w:rsidRDefault="008C05CF">
            <w:pPr>
              <w:pStyle w:val="Contenudetableau"/>
            </w:pPr>
            <w:r>
              <w:rPr>
                <w:b/>
                <w:bCs/>
              </w:rPr>
              <w:t>SIA 2017</w:t>
            </w:r>
            <w:r>
              <w:t> : la propriété provient de la synthèse état des lieux de 2017.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lastRenderedPageBreak/>
              <w:t>Localisation des données SIA (export)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Conclusion</w:t>
            </w:r>
            <w:r>
              <w:t xml:space="preserve"> de l'analyse, indiquant si l'attribut considéré se retrouve dans les exports de données XML, ou uniquement dans le texte de l'AIP, voire pas dans l'AIP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Code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Code et couleur correspondant à la conclusion :</w:t>
            </w:r>
          </w:p>
          <w:p w:rsidR="00B74339" w:rsidRDefault="008C05CF">
            <w:pPr>
              <w:pStyle w:val="Contenudetableau"/>
            </w:pPr>
            <w:r>
              <w:rPr>
                <w:highlight w:val="green"/>
              </w:rPr>
              <w:t>Vert</w:t>
            </w:r>
            <w:r>
              <w:t> : les données sont exportées dans les 2 form</w:t>
            </w:r>
            <w:r>
              <w:t>ats</w:t>
            </w:r>
          </w:p>
          <w:p w:rsidR="00B74339" w:rsidRDefault="008C05CF">
            <w:pPr>
              <w:pStyle w:val="Contenudetableau"/>
            </w:pPr>
            <w:r>
              <w:rPr>
                <w:highlight w:val="yellow"/>
              </w:rPr>
              <w:t>Orange</w:t>
            </w:r>
            <w:r>
              <w:t> : les données sont exportées dans 1 seul format</w:t>
            </w:r>
          </w:p>
          <w:p w:rsidR="00B74339" w:rsidRDefault="008C05CF">
            <w:pPr>
              <w:pStyle w:val="Contenudetableau"/>
            </w:pPr>
            <w:r>
              <w:rPr>
                <w:highlight w:val="red"/>
              </w:rPr>
              <w:t>Rouge</w:t>
            </w:r>
            <w:r>
              <w:t> : les données ne sont pas exportées, voire ne sont pas publiées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Remarques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Remarques issues de l'analyse de 2020 par Nilacandi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Remarques QLT SIA 2017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Remarques issues de l'analyse de 2017 (s</w:t>
            </w:r>
            <w:r>
              <w:t>ynthèse état des lieux)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Comptage cible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Réservé pour un usage ultérieur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Comptage XML-SIA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Nombre d'occurrences de l'attribut dans l'export XML-SIA, toutes valeurs confondues, y compris les valeurs NIL et l'absence de valeur (texte vide).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 xml:space="preserve">Comptage export </w:t>
            </w:r>
            <w:r>
              <w:t>AIXM 4.5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Nombre d'occurrences de l'attribut dans l'export AIXM 4.5, toutes valeurs confondues, y compris les valeurs NIL et l'absence de valeur (texte vide).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Encodage XML-SIA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Localisation de l'attribut dans l'export XML-SIA, sous la forme d'une expression</w:t>
            </w:r>
            <w:r>
              <w:t xml:space="preserve"> XPath</w:t>
            </w:r>
            <w:r>
              <w:rPr>
                <w:rStyle w:val="Ancredenotedebasdepage"/>
              </w:rPr>
              <w:footnoteReference w:id="1"/>
            </w:r>
            <w:r>
              <w:t>.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Encodage actuel en export AIXM 4.5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Localisation de l'attribut dans l'export AIXM 4.5, sous la forme d'une expression XPath.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Encodage AIXM 4.5 recommandé (si différent)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 xml:space="preserve">Si l'attribut n'existe pas actuellement dans l'export AIXM 4.5 du SIA, ou </w:t>
            </w:r>
            <w:r>
              <w:t>s'il existe mais dévie du standard, cette colonne indique l'encodage recommandé par Nilacandi.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Encodage AIXM 5.1 recommandé (si inexistant en 4.5)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Si le modèle AIXM 4.5 n'inclut pas l'attribut, cette colonne indique l'encodage en AIXM 5.1 recommandé par N</w:t>
            </w:r>
            <w:r>
              <w:t>ilacandi.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Sections de l'AIP France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Sections principales où l'attribut est publié dans l'AIP France (métropole ou autre).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Comptage AIP France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Réservé pour un usage ultérieur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Sections d'AIP recommandées (si différentes)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Si l'attribut n'est pas publié dans</w:t>
            </w:r>
            <w:r>
              <w:t xml:space="preserve"> l'AIP France, ou s'il est publié d'une manière non-standard</w:t>
            </w:r>
            <w:r>
              <w:rPr>
                <w:rStyle w:val="Ancredenotedebasdepage"/>
              </w:rPr>
              <w:footnoteReference w:id="2"/>
            </w:r>
            <w:r>
              <w:t>, cette colonne indique les sections principales où l'attribut devrait être publié.</w:t>
            </w:r>
          </w:p>
        </w:tc>
      </w:tr>
      <w:tr w:rsidR="00B74339">
        <w:trPr>
          <w:cantSplit/>
        </w:trPr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>Incidence sur filtrage, tri, format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339" w:rsidRDefault="008C05CF">
            <w:pPr>
              <w:pStyle w:val="Contenudetableau"/>
            </w:pPr>
            <w:r>
              <w:t xml:space="preserve">Description de la manière dont l'attribut influe sur le contenu ou la </w:t>
            </w:r>
            <w:r>
              <w:t>présentation de l'AIP. Ces informations ne sont pas exhaustives, car Nilacandi n'a pas eu accès aux règles de production de l'AIP .</w:t>
            </w:r>
          </w:p>
        </w:tc>
      </w:tr>
    </w:tbl>
    <w:p w:rsidR="00B74339" w:rsidRDefault="008C05CF">
      <w:pPr>
        <w:pStyle w:val="Corpsdetexte"/>
      </w:pPr>
      <w:r>
        <w:t xml:space="preserve">Note : dans le catalogue, la mention « n/a » (non-applicable) signifie que l'attribut n'est pas </w:t>
      </w:r>
      <w:r>
        <w:lastRenderedPageBreak/>
        <w:t xml:space="preserve">disponible dans le produit </w:t>
      </w:r>
      <w:r>
        <w:t>considéré (AIP ou exports XML).</w:t>
      </w:r>
    </w:p>
    <w:p w:rsidR="00C001BE" w:rsidRDefault="00C001BE">
      <w:pPr>
        <w:widowControl/>
        <w:rPr>
          <w:b/>
          <w:bCs/>
          <w:sz w:val="36"/>
          <w:szCs w:val="36"/>
        </w:rPr>
      </w:pPr>
      <w:r>
        <w:br w:type="page"/>
      </w:r>
    </w:p>
    <w:p w:rsidR="00B74339" w:rsidRDefault="008C05CF">
      <w:pPr>
        <w:pStyle w:val="Titre1"/>
      </w:pPr>
      <w:bookmarkStart w:id="0" w:name="_GoBack"/>
      <w:bookmarkEnd w:id="0"/>
      <w:r>
        <w:t>Introduction à XPath</w:t>
      </w:r>
    </w:p>
    <w:p w:rsidR="00B74339" w:rsidRDefault="008C05CF">
      <w:pPr>
        <w:pStyle w:val="Corpsdetexte"/>
      </w:pPr>
      <w:r>
        <w:t>Les éléments suivants de la spécification XPath sont utilisés dans le catalogue :</w:t>
      </w:r>
    </w:p>
    <w:p w:rsidR="00B74339" w:rsidRDefault="008C05CF">
      <w:pPr>
        <w:pStyle w:val="Corpsdetexte"/>
        <w:numPr>
          <w:ilvl w:val="0"/>
          <w:numId w:val="2"/>
        </w:numPr>
      </w:pPr>
      <w:r>
        <w:t>Le symbole « / » indique que l'expression qui suit est à appliquer au contenu de l'élément XML qui précède. Utilisé comme</w:t>
      </w:r>
      <w:r>
        <w:t xml:space="preserve"> caractère init</w:t>
      </w:r>
      <w:r w:rsidR="00D944EB">
        <w:t>ial, ce symbole indique que le « </w:t>
      </w:r>
      <w:r>
        <w:t>chemin</w:t>
      </w:r>
      <w:r w:rsidR="00D944EB">
        <w:t> »</w:t>
      </w:r>
      <w:r>
        <w:t xml:space="preserve"> XPath commence à la racine du document XML.</w:t>
      </w:r>
    </w:p>
    <w:p w:rsidR="00B74339" w:rsidRDefault="008C05CF">
      <w:pPr>
        <w:pStyle w:val="Corpsdetexte"/>
        <w:numPr>
          <w:ilvl w:val="0"/>
          <w:numId w:val="2"/>
        </w:numPr>
      </w:pPr>
      <w:r>
        <w:t>Le symbole « * » indique tout élément XML, quel que soit son nom.</w:t>
      </w:r>
    </w:p>
    <w:p w:rsidR="00B74339" w:rsidRDefault="008C05CF">
      <w:pPr>
        <w:pStyle w:val="Corpsdetexte"/>
        <w:numPr>
          <w:ilvl w:val="0"/>
          <w:numId w:val="2"/>
        </w:numPr>
      </w:pPr>
      <w:r>
        <w:t>Le symbole « | » est l'opérateur d'union (« ou » inclusif). Par exemple, a/(b|c) signifie qu</w:t>
      </w:r>
      <w:r>
        <w:t>e l'on recherche, à l'intérieur de l'élément XML a, tous les éléments XML dont le nom est b ou c. Les parenthèses sont nécessaire car l'opérateur « / » a priorité sur « | ».</w:t>
      </w:r>
    </w:p>
    <w:p w:rsidR="00B74339" w:rsidRDefault="008C05CF">
      <w:pPr>
        <w:pStyle w:val="Corpsdetexte"/>
        <w:numPr>
          <w:ilvl w:val="0"/>
          <w:numId w:val="2"/>
        </w:numPr>
      </w:pPr>
      <w:r>
        <w:t xml:space="preserve">Les crochets « [ » et « ] » indiquent un filtre. Par exemple, a[b = 'c'] signifie </w:t>
      </w:r>
      <w:r>
        <w:t>que l'on recherche tout élément XML a qui contient un élément b dont la valeur textuelle est c.</w:t>
      </w:r>
    </w:p>
    <w:p w:rsidR="00B74339" w:rsidRDefault="008C05CF">
      <w:pPr>
        <w:pStyle w:val="Corpsdetexte"/>
        <w:numPr>
          <w:ilvl w:val="0"/>
          <w:numId w:val="2"/>
        </w:numPr>
      </w:pPr>
      <w:r>
        <w:t>Les filtres peuvent être définis avec une liste de valeurs : [b = ('c', 'd')] signifie que la valeur textuelle de l'élément b peut être soit c, soit d pour sati</w:t>
      </w:r>
      <w:r>
        <w:t>sfaire le filtre.</w:t>
      </w:r>
    </w:p>
    <w:sectPr w:rsidR="00B74339" w:rsidSect="00C001BE">
      <w:headerReference w:type="default" r:id="rId9"/>
      <w:footerReference w:type="default" r:id="rId10"/>
      <w:footerReference w:type="first" r:id="rId11"/>
      <w:pgSz w:w="11906" w:h="16838"/>
      <w:pgMar w:top="1750" w:right="1134" w:bottom="1702" w:left="1134" w:header="1134" w:footer="1134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C05CF">
      <w:r>
        <w:separator/>
      </w:r>
    </w:p>
  </w:endnote>
  <w:endnote w:type="continuationSeparator" w:id="0">
    <w:p w:rsidR="00000000" w:rsidRDefault="008C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339" w:rsidRDefault="008C05CF">
    <w:pPr>
      <w:pStyle w:val="Pieddepage"/>
    </w:pP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339" w:rsidRDefault="008C05CF">
    <w:pPr>
      <w:pStyle w:val="Pieddepage"/>
    </w:pPr>
    <w:r>
      <w:t>©</w:t>
    </w:r>
    <w:r>
      <w:t xml:space="preserve"> 2016 Nilacandi SPRL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339" w:rsidRDefault="008C05CF">
      <w:r>
        <w:separator/>
      </w:r>
    </w:p>
  </w:footnote>
  <w:footnote w:type="continuationSeparator" w:id="0">
    <w:p w:rsidR="00B74339" w:rsidRDefault="008C05CF">
      <w:r>
        <w:continuationSeparator/>
      </w:r>
    </w:p>
  </w:footnote>
  <w:footnote w:id="1">
    <w:p w:rsidR="00B74339" w:rsidRDefault="008C05CF">
      <w:pPr>
        <w:pStyle w:val="Notedebasdepage"/>
      </w:pPr>
      <w:r>
        <w:rPr>
          <w:rStyle w:val="Caractresdenotedebasdepage"/>
        </w:rPr>
        <w:footnoteRef/>
      </w:r>
      <w:r>
        <w:tab/>
      </w:r>
      <w:r>
        <w:t xml:space="preserve">XPath est une spécification standard de la famille des standards XML du W3C : </w:t>
      </w:r>
      <w:hyperlink r:id="rId1">
        <w:r>
          <w:rPr>
            <w:rStyle w:val="LienInternet"/>
          </w:rPr>
          <w:t>https://www.w3.org/TR/xpath/all/</w:t>
        </w:r>
      </w:hyperlink>
    </w:p>
  </w:footnote>
  <w:footnote w:id="2">
    <w:p w:rsidR="00B74339" w:rsidRDefault="008C05CF">
      <w:pPr>
        <w:pStyle w:val="Notedebasdepage"/>
      </w:pPr>
      <w:r>
        <w:rPr>
          <w:rStyle w:val="Caractresdenotedebasdepage"/>
        </w:rPr>
        <w:footnoteRef/>
      </w:r>
      <w:r>
        <w:tab/>
        <w:t>Selon les SARPs, c'est-à-dire les documents de l'OACI suivants :Annexe 15, Doc 10066, Doc 8</w:t>
      </w:r>
      <w:r>
        <w:t>126.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339" w:rsidRDefault="008C05CF">
    <w:pPr>
      <w:pStyle w:val="En-tte"/>
    </w:pPr>
    <w:r>
      <w:t>Catalogue de Données SIA – Manuel de l'utilisateur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97428"/>
    <w:multiLevelType w:val="multilevel"/>
    <w:tmpl w:val="F1AA864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7F90E2D"/>
    <w:multiLevelType w:val="multilevel"/>
    <w:tmpl w:val="0E1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39"/>
    <w:rsid w:val="00081233"/>
    <w:rsid w:val="006B7FA3"/>
    <w:rsid w:val="008C05CF"/>
    <w:rsid w:val="00B74339"/>
    <w:rsid w:val="00C001BE"/>
    <w:rsid w:val="00D9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5067"/>
  <w15:docId w15:val="{EE166D9D-BC91-4C3C-B220-B897B1C6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Normal"/>
    <w:next w:val="Corpsdetexte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paragraph" w:styleId="Titre">
    <w:name w:val="Title"/>
    <w:basedOn w:val="Normal"/>
    <w:next w:val="Corpsdetexte"/>
    <w:qFormat/>
    <w:pPr>
      <w:jc w:val="center"/>
    </w:pPr>
    <w:rPr>
      <w:b/>
      <w:bCs/>
      <w:sz w:val="56"/>
      <w:szCs w:val="5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  <w:jc w:val="center"/>
    </w:pPr>
    <w:rPr>
      <w:b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Sous-titre">
    <w:name w:val="Subtitle"/>
    <w:basedOn w:val="Normal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Retraitcorpsdetexte">
    <w:name w:val="Body Text Indent"/>
    <w:basedOn w:val="Corpsdetexte"/>
    <w:pPr>
      <w:ind w:left="283"/>
    </w:pPr>
  </w:style>
  <w:style w:type="paragraph" w:customStyle="1" w:styleId="Illustration">
    <w:name w:val="Illustration"/>
    <w:basedOn w:val="Lgende"/>
    <w:qFormat/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hilippe.beaudoin@aviation-civile.gouv.f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3.org/TR/xpath/al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SNA-GSO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Maisonny</dc:creator>
  <dc:description/>
  <cp:lastModifiedBy>Laurent BROUSSIN</cp:lastModifiedBy>
  <cp:revision>4</cp:revision>
  <cp:lastPrinted>2020-11-05T11:04:00Z</cp:lastPrinted>
  <dcterms:created xsi:type="dcterms:W3CDTF">2020-11-05T11:02:00Z</dcterms:created>
  <dcterms:modified xsi:type="dcterms:W3CDTF">2020-11-05T11:04:00Z</dcterms:modified>
  <dc:language>fr-BE</dc:language>
</cp:coreProperties>
</file>