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X62acfbffa3c4354d4f1d3c9cb0d5688c75e651b"/>
    <w:p>
      <w:pPr>
        <w:pStyle w:val="Heading1"/>
      </w:pPr>
      <w:r>
        <w:t xml:space="preserve">AlphaForge Market Analysis and Pricing Strategy</w:t>
      </w:r>
    </w:p>
    <w:bookmarkStart w:id="25" w:name="executive-summary"/>
    <w:p>
      <w:pPr>
        <w:pStyle w:val="Heading2"/>
      </w:pPr>
      <w:r>
        <w:t xml:space="preserve">Executive summary</w:t>
      </w:r>
    </w:p>
    <w:p>
      <w:pPr>
        <w:pStyle w:val="FirstParagraph"/>
      </w:pPr>
      <w:r>
        <w:t xml:space="preserve">AlphaForge sits in a real and growing budget line, but not in the same category as generic software or full AI-discovery mega-partnerships. The right commercial framing is</w:t>
      </w:r>
      <w:r>
        <w:t xml:space="preserve"> </w:t>
      </w:r>
      <w:r>
        <w:rPr>
          <w:b/>
          <w:bCs/>
        </w:rPr>
        <w:t xml:space="preserve">decision intelligence for small-molecule portfolio and development risk</w:t>
      </w:r>
      <w:r>
        <w:t xml:space="preserve">, sold first as</w:t>
      </w:r>
      <w:r>
        <w:t xml:space="preserve"> </w:t>
      </w:r>
      <w:r>
        <w:rPr>
          <w:b/>
          <w:bCs/>
        </w:rPr>
        <w:t xml:space="preserve">high-value project work</w:t>
      </w:r>
      <w:r>
        <w:t xml:space="preserve"> </w:t>
      </w:r>
      <w:r>
        <w:t xml:space="preserve">and then expanded into</w:t>
      </w:r>
      <w:r>
        <w:t xml:space="preserve"> </w:t>
      </w:r>
      <w:r>
        <w:rPr>
          <w:b/>
          <w:bCs/>
        </w:rPr>
        <w:t xml:space="preserve">annual collaborations and selective asset economics</w:t>
      </w:r>
      <w:r>
        <w:t xml:space="preserve">. That positioning matches ReneuBio’s own internal plan to go</w:t>
      </w:r>
      <w:r>
        <w:t xml:space="preserve"> </w:t>
      </w:r>
      <w:r>
        <w:rPr>
          <w:b/>
          <w:bCs/>
        </w:rPr>
        <w:t xml:space="preserve">platform-first with optional asset upside</w:t>
      </w:r>
      <w:r>
        <w:t xml:space="preserve">, rather than trying to jump immediately to large, all-encompassing software licenses. fileciteturn0file2</w:t>
      </w:r>
    </w:p>
    <w:p>
      <w:pPr>
        <w:pStyle w:val="BodyText"/>
      </w:pPr>
      <w:r>
        <w:t xml:space="preserve">The market is large enough to support a focused company. Citeline counted</w:t>
      </w:r>
      <w:r>
        <w:t xml:space="preserve"> </w:t>
      </w:r>
      <w:r>
        <w:rPr>
          <w:b/>
          <w:bCs/>
        </w:rPr>
        <w:t xml:space="preserve">23,875 drugs in development</w:t>
      </w:r>
      <w:r>
        <w:t xml:space="preserve"> </w:t>
      </w:r>
      <w:r>
        <w:t xml:space="preserve">in 2025, including</w:t>
      </w:r>
      <w:r>
        <w:t xml:space="preserve"> </w:t>
      </w:r>
      <w:r>
        <w:rPr>
          <w:b/>
          <w:bCs/>
        </w:rPr>
        <w:t xml:space="preserve">12,704 preclinical</w:t>
      </w:r>
      <w:r>
        <w:t xml:space="preserve">,</w:t>
      </w:r>
      <w:r>
        <w:t xml:space="preserve"> </w:t>
      </w:r>
      <w:r>
        <w:rPr>
          <w:b/>
          <w:bCs/>
        </w:rPr>
        <w:t xml:space="preserve">3,954 Phase I</w:t>
      </w:r>
      <w:r>
        <w:t xml:space="preserve">,</w:t>
      </w:r>
      <w:r>
        <w:t xml:space="preserve"> </w:t>
      </w:r>
      <w:r>
        <w:rPr>
          <w:b/>
          <w:bCs/>
        </w:rPr>
        <w:t xml:space="preserve">3,586 Phase II</w:t>
      </w:r>
      <w:r>
        <w:t xml:space="preserve">, and</w:t>
      </w:r>
      <w:r>
        <w:t xml:space="preserve"> </w:t>
      </w:r>
      <w:r>
        <w:rPr>
          <w:b/>
          <w:bCs/>
        </w:rPr>
        <w:t xml:space="preserve">1,358 Phase III</w:t>
      </w:r>
      <w:r>
        <w:t xml:space="preserve"> </w:t>
      </w:r>
      <w:r>
        <w:t xml:space="preserve">assets. Recent industry sources indicate that</w:t>
      </w:r>
      <w:r>
        <w:t xml:space="preserve"> </w:t>
      </w:r>
      <w:r>
        <w:rPr>
          <w:b/>
          <w:bCs/>
        </w:rPr>
        <w:t xml:space="preserve">small molecules remain roughly half of the global pipeline</w:t>
      </w:r>
      <w:r>
        <w:t xml:space="preserve">, with one source putting them at</w:t>
      </w:r>
      <w:r>
        <w:t xml:space="preserve"> </w:t>
      </w:r>
      <w:r>
        <w:rPr>
          <w:b/>
          <w:bCs/>
        </w:rPr>
        <w:t xml:space="preserve">54% of clinical development (~9,000 molecules)</w:t>
      </w:r>
      <w:r>
        <w:t xml:space="preserve"> </w:t>
      </w:r>
      <w:r>
        <w:t xml:space="preserve">and another reporting biologics only narrowly overtook small molecules in the</w:t>
      </w:r>
      <w:r>
        <w:t xml:space="preserve"> </w:t>
      </w:r>
      <w:r>
        <w:rPr>
          <w:b/>
          <w:bCs/>
        </w:rPr>
        <w:t xml:space="preserve">total</w:t>
      </w:r>
      <w:r>
        <w:t xml:space="preserve"> </w:t>
      </w:r>
      <w:r>
        <w:t xml:space="preserve">pipeline at the start of 2026. Emerging biopharma companies are especially important: IQVIA reports they account for</w:t>
      </w:r>
      <w:r>
        <w:t xml:space="preserve"> </w:t>
      </w:r>
      <w:r>
        <w:rPr>
          <w:b/>
          <w:bCs/>
        </w:rPr>
        <w:t xml:space="preserve">65% of the R&amp;D pipeline without a larger company involved</w:t>
      </w:r>
      <w:r>
        <w:t xml:space="preserve"> </w:t>
      </w:r>
      <w:r>
        <w:t xml:space="preserve">and</w:t>
      </w:r>
      <w:r>
        <w:t xml:space="preserve"> </w:t>
      </w:r>
      <w:r>
        <w:rPr>
          <w:b/>
          <w:bCs/>
        </w:rPr>
        <w:t xml:space="preserve">59% of trial starts</w:t>
      </w:r>
      <w:r>
        <w:t xml:space="preserve">.</w:t>
      </w:r>
      <w:r>
        <w:t xml:space="preserve"> </w:t>
      </w:r>
      <w:hyperlink r:id="rId21">
        <w:r>
          <w:rPr>
            <w:rStyle w:val="Hyperlink"/>
          </w:rPr>
          <w:t xml:space="preserve">[1]</w:t>
        </w:r>
      </w:hyperlink>
    </w:p>
    <w:p>
      <w:pPr>
        <w:pStyle w:val="BodyText"/>
      </w:pPr>
      <w:r>
        <w:t xml:space="preserve">The pricing anchor should be the value of avoiding late failure. Deloitte’s 2024 analysis put expected average R&amp;D cost per launched asset for the 20 largest biopharma companies at</w:t>
      </w:r>
      <w:r>
        <w:t xml:space="preserve"> </w:t>
      </w:r>
      <w:r>
        <w:rPr>
          <w:b/>
          <w:bCs/>
        </w:rPr>
        <w:t xml:space="preserve">$2.23 billion</w:t>
      </w:r>
      <w:r>
        <w:t xml:space="preserve">, while published phase-cost models show that once a small-molecule program reaches the clinic, a large amount of future spend is still at risk. Using published out-of-pocket phase costs and published small-molecule/NME phase transition rates, the</w:t>
      </w:r>
      <w:r>
        <w:t xml:space="preserve"> </w:t>
      </w:r>
      <w:r>
        <w:rPr>
          <w:b/>
          <w:bCs/>
        </w:rPr>
        <w:t xml:space="preserve">gross avoidable future spend</w:t>
      </w:r>
      <w:r>
        <w:t xml:space="preserve"> </w:t>
      </w:r>
      <w:r>
        <w:t xml:space="preserve">from stopping one doomed program is on the order of</w:t>
      </w:r>
      <w:r>
        <w:t xml:space="preserve"> </w:t>
      </w:r>
      <w:r>
        <w:rPr>
          <w:b/>
          <w:bCs/>
        </w:rPr>
        <w:t xml:space="preserve">$29M–$91M</w:t>
      </w:r>
      <w:r>
        <w:t xml:space="preserve">, depending on stage.</w:t>
      </w:r>
      <w:r>
        <w:t xml:space="preserve"> </w:t>
      </w:r>
      <w:hyperlink r:id="rId22">
        <w:r>
          <w:rPr>
            <w:rStyle w:val="Hyperlink"/>
          </w:rPr>
          <w:t xml:space="preserve">[2]</w:t>
        </w:r>
      </w:hyperlink>
    </w:p>
    <w:p>
      <w:pPr>
        <w:pStyle w:val="BodyText"/>
      </w:pPr>
      <w:r>
        <w:t xml:space="preserve">Public competitor pricing is mostly opaque, but the market already supports four pricing bands.</w:t>
      </w:r>
      <w:r>
        <w:t xml:space="preserve"> </w:t>
      </w:r>
      <w:r>
        <w:rPr>
          <w:b/>
          <w:bCs/>
        </w:rPr>
        <w:t xml:space="preserve">Data subscriptions</w:t>
      </w:r>
      <w:r>
        <w:t xml:space="preserve"> </w:t>
      </w:r>
      <w:r>
        <w:t xml:space="preserve">sit in the</w:t>
      </w:r>
      <w:r>
        <w:t xml:space="preserve"> </w:t>
      </w:r>
      <w:r>
        <w:rPr>
          <w:b/>
          <w:bCs/>
        </w:rPr>
        <w:t xml:space="preserve">tens of thousands to low hundreds of thousands</w:t>
      </w:r>
      <w:r>
        <w:t xml:space="preserve">.</w:t>
      </w:r>
      <w:r>
        <w:t xml:space="preserve"> </w:t>
      </w:r>
      <w:r>
        <w:rPr>
          <w:b/>
          <w:bCs/>
        </w:rPr>
        <w:t xml:space="preserve">Specialist consulting and diligence work</w:t>
      </w:r>
      <w:r>
        <w:t xml:space="preserve"> </w:t>
      </w:r>
      <w:r>
        <w:t xml:space="preserve">is typically</w:t>
      </w:r>
      <w:r>
        <w:t xml:space="preserve"> </w:t>
      </w:r>
      <w:r>
        <w:rPr>
          <w:b/>
          <w:bCs/>
        </w:rPr>
        <w:t xml:space="preserve">low- to mid-six figures</w:t>
      </w:r>
      <w:r>
        <w:t xml:space="preserve">.</w:t>
      </w:r>
      <w:r>
        <w:t xml:space="preserve"> </w:t>
      </w:r>
      <w:r>
        <w:rPr>
          <w:b/>
          <w:bCs/>
        </w:rPr>
        <w:t xml:space="preserve">AI-enabled development intelligence</w:t>
      </w:r>
      <w:r>
        <w:t xml:space="preserve"> </w:t>
      </w:r>
      <w:r>
        <w:t xml:space="preserve">is usually sold through custom enterprise contracts with undisclosed pricing.</w:t>
      </w:r>
      <w:r>
        <w:t xml:space="preserve"> </w:t>
      </w:r>
      <w:r>
        <w:rPr>
          <w:b/>
          <w:bCs/>
        </w:rPr>
        <w:t xml:space="preserve">AI discovery collaborations</w:t>
      </w:r>
      <w:r>
        <w:t xml:space="preserve"> </w:t>
      </w:r>
      <w:r>
        <w:t xml:space="preserve">now routinely carry</w:t>
      </w:r>
      <w:r>
        <w:t xml:space="preserve"> </w:t>
      </w:r>
      <w:r>
        <w:rPr>
          <w:b/>
          <w:bCs/>
        </w:rPr>
        <w:t xml:space="preserve">eight-figure to nine-figure upfront economics</w:t>
      </w:r>
      <w:r>
        <w:t xml:space="preserve"> </w:t>
      </w:r>
      <w:r>
        <w:t xml:space="preserve">and multibillion-dollar milestones when they include target access, wet-lab work, or program rights.</w:t>
      </w:r>
      <w:r>
        <w:t xml:space="preserve"> </w:t>
      </w:r>
      <w:hyperlink r:id="rId23">
        <w:r>
          <w:rPr>
            <w:rStyle w:val="Hyperlink"/>
          </w:rPr>
          <w:t xml:space="preserve">[3]</w:t>
        </w:r>
      </w:hyperlink>
    </w:p>
    <w:p>
      <w:pPr>
        <w:pStyle w:val="BodyText"/>
      </w:pPr>
      <w:r>
        <w:t xml:space="preserve">The recommended AlphaForge pricing is therefore: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jc w:val="right"/>
            </w:pPr>
            <w:r>
              <w:t xml:space="preserve">Recommended price range</w:t>
            </w:r>
          </w:p>
        </w:tc>
        <w:tc>
          <w:tcPr/>
          <w:p>
            <w:pPr>
              <w:pStyle w:val="Compact"/>
            </w:pPr>
            <w:r>
              <w:t xml:space="preserve">Best-fit buyer</w:t>
            </w:r>
          </w:p>
        </w:tc>
      </w:tr>
      <w:tr>
        <w:tc>
          <w:tcPr/>
          <w:p>
            <w:pPr>
              <w:pStyle w:val="Compact"/>
            </w:pPr>
            <w:r>
              <w:t xml:space="preserve">Single-asset diligence</w:t>
            </w:r>
          </w:p>
        </w:tc>
        <w:tc>
          <w:tcPr/>
          <w:p>
            <w:pPr>
              <w:pStyle w:val="Compact"/>
              <w:jc w:val="right"/>
            </w:pPr>
            <w:r>
              <w:rPr>
                <w:b/>
                <w:bCs/>
              </w:rPr>
              <w:t xml:space="preserve">$40k–$75k biotech</w:t>
            </w:r>
            <w:r>
              <w:t xml:space="preserve">;</w:t>
            </w:r>
            <w:r>
              <w:t xml:space="preserve"> </w:t>
            </w:r>
            <w:r>
              <w:rPr>
                <w:b/>
                <w:bCs/>
              </w:rPr>
              <w:t xml:space="preserve">$75k–$150k pharma</w:t>
            </w:r>
          </w:p>
        </w:tc>
        <w:tc>
          <w:tcPr/>
          <w:p>
            <w:pPr>
              <w:pStyle w:val="Compact"/>
            </w:pPr>
            <w:r>
              <w:t xml:space="preserve">BD, portfolio, translational, development</w:t>
            </w:r>
          </w:p>
        </w:tc>
      </w:tr>
      <w:tr>
        <w:tc>
          <w:tcPr/>
          <w:p>
            <w:pPr>
              <w:pStyle w:val="Compact"/>
            </w:pPr>
            <w:r>
              <w:t xml:space="preserve">Failure-mode analysis + redesign guidance</w:t>
            </w:r>
          </w:p>
        </w:tc>
        <w:tc>
          <w:tcPr/>
          <w:p>
            <w:pPr>
              <w:pStyle w:val="Compact"/>
              <w:jc w:val="right"/>
            </w:pPr>
            <w:r>
              <w:rPr>
                <w:b/>
                <w:bCs/>
              </w:rPr>
              <w:t xml:space="preserve">$100k–$175k biotech</w:t>
            </w:r>
            <w:r>
              <w:t xml:space="preserve">;</w:t>
            </w:r>
            <w:r>
              <w:t xml:space="preserve"> </w:t>
            </w:r>
            <w:r>
              <w:rPr>
                <w:b/>
                <w:bCs/>
              </w:rPr>
              <w:t xml:space="preserve">$150k–$300k pharma</w:t>
            </w:r>
          </w:p>
        </w:tc>
        <w:tc>
          <w:tcPr/>
          <w:p>
            <w:pPr>
              <w:pStyle w:val="Compact"/>
            </w:pPr>
            <w:r>
              <w:t xml:space="preserve">Medchem + translational teams</w:t>
            </w:r>
          </w:p>
        </w:tc>
      </w:tr>
      <w:tr>
        <w:tc>
          <w:tcPr/>
          <w:p>
            <w:pPr>
              <w:pStyle w:val="Compact"/>
            </w:pPr>
            <w:r>
              <w:t xml:space="preserve">Portfolio screen of 10 assets</w:t>
            </w:r>
          </w:p>
        </w:tc>
        <w:tc>
          <w:tcPr/>
          <w:p>
            <w:pPr>
              <w:pStyle w:val="Compact"/>
              <w:jc w:val="right"/>
            </w:pPr>
            <w:r>
              <w:rPr>
                <w:b/>
                <w:bCs/>
              </w:rPr>
              <w:t xml:space="preserve">$200k–$400k biotech</w:t>
            </w:r>
            <w:r>
              <w:t xml:space="preserve">;</w:t>
            </w:r>
            <w:r>
              <w:t xml:space="preserve"> </w:t>
            </w:r>
            <w:r>
              <w:rPr>
                <w:b/>
                <w:bCs/>
              </w:rPr>
              <w:t xml:space="preserve">$300k–$600k pharma</w:t>
            </w:r>
          </w:p>
        </w:tc>
        <w:tc>
          <w:tcPr/>
          <w:p>
            <w:pPr>
              <w:pStyle w:val="Compact"/>
            </w:pPr>
            <w:r>
              <w:t xml:space="preserve">Portfolio strategy, BD, pipeline review</w:t>
            </w:r>
          </w:p>
        </w:tc>
      </w:tr>
      <w:tr>
        <w:tc>
          <w:tcPr/>
          <w:p>
            <w:pPr>
              <w:pStyle w:val="Compact"/>
            </w:pPr>
            <w:r>
              <w:t xml:space="preserve">Annual platform collaboration / license</w:t>
            </w:r>
          </w:p>
        </w:tc>
        <w:tc>
          <w:tcPr/>
          <w:p>
            <w:pPr>
              <w:pStyle w:val="Compact"/>
              <w:jc w:val="right"/>
            </w:pPr>
            <w:r>
              <w:rPr>
                <w:b/>
                <w:bCs/>
              </w:rPr>
              <w:t xml:space="preserve">$0.75M–$1.5M biotech</w:t>
            </w:r>
            <w:r>
              <w:t xml:space="preserve">;</w:t>
            </w:r>
            <w:r>
              <w:t xml:space="preserve"> </w:t>
            </w:r>
            <w:r>
              <w:rPr>
                <w:b/>
                <w:bCs/>
              </w:rPr>
              <w:t xml:space="preserve">$1.5M–$3.0M pharma</w:t>
            </w:r>
            <w:r>
              <w:t xml:space="preserve">;</w:t>
            </w:r>
            <w:r>
              <w:t xml:space="preserve"> </w:t>
            </w:r>
            <w:r>
              <w:rPr>
                <w:b/>
                <w:bCs/>
              </w:rPr>
              <w:t xml:space="preserve">$3M–$7M+ enterprise/on-prem/API</w:t>
            </w:r>
          </w:p>
        </w:tc>
        <w:tc>
          <w:tcPr/>
          <w:p>
            <w:pPr>
              <w:pStyle w:val="Compact"/>
            </w:pPr>
            <w:r>
              <w:t xml:space="preserve">Department or enterprise platform adoption</w:t>
            </w:r>
          </w:p>
        </w:tc>
      </w:tr>
    </w:tbl>
    <w:p>
      <w:pPr>
        <w:pStyle w:val="BodyText"/>
      </w:pPr>
      <w:r>
        <w:t xml:space="preserve">Those ranges place AlphaForge</w:t>
      </w:r>
      <w:r>
        <w:t xml:space="preserve"> </w:t>
      </w:r>
      <w:r>
        <w:rPr>
          <w:b/>
          <w:bCs/>
        </w:rPr>
        <w:t xml:space="preserve">above pure data vendors</w:t>
      </w:r>
      <w:r>
        <w:t xml:space="preserve">,</w:t>
      </w:r>
      <w:r>
        <w:t xml:space="preserve"> </w:t>
      </w:r>
      <w:r>
        <w:rPr>
          <w:b/>
          <w:bCs/>
        </w:rPr>
        <w:t xml:space="preserve">around or slightly above specialist consulting on a per-project basis</w:t>
      </w:r>
      <w:r>
        <w:t xml:space="preserve">, and</w:t>
      </w:r>
      <w:r>
        <w:t xml:space="preserve"> </w:t>
      </w:r>
      <w:r>
        <w:rPr>
          <w:b/>
          <w:bCs/>
        </w:rPr>
        <w:t xml:space="preserve">far below full AI-discovery platform alliances</w:t>
      </w:r>
      <w:r>
        <w:t xml:space="preserve">, which is exactly where it should sit at this stage.</w:t>
      </w:r>
      <w:r>
        <w:t xml:space="preserve"> </w:t>
      </w:r>
      <w:hyperlink r:id="rId24">
        <w:r>
          <w:rPr>
            <w:rStyle w:val="Hyperlink"/>
          </w:rPr>
          <w:t xml:space="preserve">[4]</w:t>
        </w:r>
      </w:hyperlink>
    </w:p>
    <w:p>
      <w:pPr>
        <w:pStyle w:val="BodyText"/>
      </w:pPr>
      <w:r>
        <w:t xml:space="preserve">ReneuBio’s own deck asserts that AlphaForge is more than a scoring tool: it reports retrospective validation on</w:t>
      </w:r>
      <w:r>
        <w:t xml:space="preserve"> </w:t>
      </w:r>
      <w:r>
        <w:rPr>
          <w:b/>
          <w:bCs/>
        </w:rPr>
        <w:t xml:space="preserve">393 compounds</w:t>
      </w:r>
      <w:r>
        <w:t xml:space="preserve"> </w:t>
      </w:r>
      <w:r>
        <w:t xml:space="preserve">with</w:t>
      </w:r>
      <w:r>
        <w:t xml:space="preserve"> </w:t>
      </w:r>
      <w:r>
        <w:rPr>
          <w:b/>
          <w:bCs/>
        </w:rPr>
        <w:t xml:space="preserve">AUC 0.884</w:t>
      </w:r>
      <w:r>
        <w:t xml:space="preserve">, plus an internal redesign case in which an asset’s score fell from</w:t>
      </w:r>
      <w:r>
        <w:t xml:space="preserve"> </w:t>
      </w:r>
      <w:r>
        <w:rPr>
          <w:b/>
          <w:bCs/>
        </w:rPr>
        <w:t xml:space="preserve">90 to 8</w:t>
      </w:r>
      <w:r>
        <w:t xml:space="preserve"> </w:t>
      </w:r>
      <w:r>
        <w:t xml:space="preserve">after redesign. If that performance continues to hold in external validations, ReneuBio can credibly support the premium end of the ranges above. fileciteturn0file1</w:t>
      </w:r>
    </w:p>
    <w:bookmarkEnd w:id="25"/>
    <w:bookmarkStart w:id="28" w:name="market-facts-and-addressable-market"/>
    <w:p>
      <w:pPr>
        <w:pStyle w:val="Heading2"/>
      </w:pPr>
      <w:r>
        <w:t xml:space="preserve">Market facts and addressable market</w:t>
      </w:r>
    </w:p>
    <w:p>
      <w:pPr>
        <w:pStyle w:val="FirstParagraph"/>
      </w:pPr>
      <w:r>
        <w:t xml:space="preserve">The most useful market frame is not “all AI in pharma.” It is</w:t>
      </w:r>
      <w:r>
        <w:t xml:space="preserve"> </w:t>
      </w:r>
      <w:r>
        <w:rPr>
          <w:b/>
          <w:bCs/>
        </w:rPr>
        <w:t xml:space="preserve">small-molecule portfolio and development decisions where a sponsor is choosing whether to advance, stop, acquire, out-license, redesign, or replace an asset</w:t>
      </w:r>
      <w:r>
        <w:t xml:space="preserve">. Citeline’s 2025 pipeline data show a very large active decision surface: preclinical through Phase III alone accounts for</w:t>
      </w:r>
      <w:r>
        <w:t xml:space="preserve"> </w:t>
      </w:r>
      <w:r>
        <w:rPr>
          <w:b/>
          <w:bCs/>
        </w:rPr>
        <w:t xml:space="preserve">21,602 assets</w:t>
      </w:r>
      <w:r>
        <w:t xml:space="preserve"> </w:t>
      </w:r>
      <w:r>
        <w:t xml:space="preserve">globally, before counting registration-stage programs. Using a reasonable</w:t>
      </w:r>
      <w:r>
        <w:t xml:space="preserve"> </w:t>
      </w:r>
      <w:r>
        <w:rPr>
          <w:b/>
          <w:bCs/>
        </w:rPr>
        <w:t xml:space="preserve">50%–54% small-molecule share</w:t>
      </w:r>
      <w:r>
        <w:t xml:space="preserve">, that implies an estimated active small-molecule stage pool of roughly</w:t>
      </w:r>
      <w:r>
        <w:t xml:space="preserve"> </w:t>
      </w:r>
      <w:r>
        <w:rPr>
          <w:b/>
          <w:bCs/>
        </w:rPr>
        <w:t xml:space="preserve">6.4k–6.9k preclinical</w:t>
      </w:r>
      <w:r>
        <w:t xml:space="preserve">,</w:t>
      </w:r>
      <w:r>
        <w:t xml:space="preserve"> </w:t>
      </w:r>
      <w:r>
        <w:rPr>
          <w:b/>
          <w:bCs/>
        </w:rPr>
        <w:t xml:space="preserve">2.0k–2.1k Phase I</w:t>
      </w:r>
      <w:r>
        <w:t xml:space="preserve">,</w:t>
      </w:r>
      <w:r>
        <w:t xml:space="preserve"> </w:t>
      </w:r>
      <w:r>
        <w:rPr>
          <w:b/>
          <w:bCs/>
        </w:rPr>
        <w:t xml:space="preserve">1.8k–1.9k Phase II</w:t>
      </w:r>
      <w:r>
        <w:t xml:space="preserve">, and</w:t>
      </w:r>
      <w:r>
        <w:t xml:space="preserve"> </w:t>
      </w:r>
      <w:r>
        <w:rPr>
          <w:b/>
          <w:bCs/>
        </w:rPr>
        <w:t xml:space="preserve">0.68k–0.73k Phase III</w:t>
      </w:r>
      <w:r>
        <w:t xml:space="preserve"> </w:t>
      </w:r>
      <w:r>
        <w:t xml:space="preserve">assets. This is an estimate derived from public pipeline counts and public modality-share ranges, not a vendor-published small-molecule stage census.</w:t>
      </w:r>
      <w:r>
        <w:t xml:space="preserve"> </w:t>
      </w:r>
      <w:hyperlink r:id="rId26">
        <w:r>
          <w:rPr>
            <w:rStyle w:val="Hyperlink"/>
          </w:rPr>
          <w:t xml:space="preserve">[5]</w:t>
        </w:r>
      </w:hyperlink>
    </w:p>
    <w:p>
      <w:pPr>
        <w:pStyle w:val="BodyText"/>
      </w:pPr>
      <w:r>
        <w:t xml:space="preserve">The buyer base is also attractive. Emerging biopharma drives most early- and mid-stage innovation: IQVIA says EBPs account for</w:t>
      </w:r>
      <w:r>
        <w:t xml:space="preserve"> </w:t>
      </w:r>
      <w:r>
        <w:rPr>
          <w:b/>
          <w:bCs/>
        </w:rPr>
        <w:t xml:space="preserve">65% of molecules in the R&amp;D pipeline without a larger company involved</w:t>
      </w:r>
      <w:r>
        <w:t xml:space="preserve">,</w:t>
      </w:r>
      <w:r>
        <w:t xml:space="preserve"> </w:t>
      </w:r>
      <w:r>
        <w:rPr>
          <w:b/>
          <w:bCs/>
        </w:rPr>
        <w:t xml:space="preserve">59% of trial starts</w:t>
      </w:r>
      <w:r>
        <w:t xml:space="preserve">, and</w:t>
      </w:r>
      <w:r>
        <w:t xml:space="preserve"> </w:t>
      </w:r>
      <w:r>
        <w:rPr>
          <w:b/>
          <w:bCs/>
        </w:rPr>
        <w:t xml:space="preserve">55% of NAS originations over the last decade</w:t>
      </w:r>
      <w:r>
        <w:t xml:space="preserve">. Large pharma remains essential because it has the budgets, late-stage exposure, and BD appetite; but biotech is the higher-volume source of assets and therefore a critical design partner for AlphaForge’s pilot business.</w:t>
      </w:r>
      <w:r>
        <w:t xml:space="preserve"> </w:t>
      </w:r>
      <w:hyperlink r:id="rId27">
        <w:r>
          <w:rPr>
            <w:rStyle w:val="Hyperlink"/>
          </w:rPr>
          <w:t xml:space="preserve">[6]</w:t>
        </w:r>
      </w:hyperlink>
    </w:p>
    <w:p>
      <w:pPr>
        <w:pStyle w:val="BodyText"/>
      </w:pPr>
      <w:r>
        <w:t xml:space="preserve">A practical three-year commercial market for AlphaForge is best expressed as a</w:t>
      </w:r>
      <w:r>
        <w:t xml:space="preserve"> </w:t>
      </w:r>
      <w:r>
        <w:rPr>
          <w:b/>
          <w:bCs/>
        </w:rPr>
        <w:t xml:space="preserve">serviceable market</w:t>
      </w:r>
      <w:r>
        <w:t xml:space="preserve">, not a theoretical total. If only</w:t>
      </w:r>
      <w:r>
        <w:t xml:space="preserve"> </w:t>
      </w:r>
      <w:r>
        <w:rPr>
          <w:b/>
          <w:bCs/>
        </w:rPr>
        <w:t xml:space="preserve">10%–15%</w:t>
      </w:r>
      <w:r>
        <w:t xml:space="preserve"> </w:t>
      </w:r>
      <w:r>
        <w:t xml:space="preserve">of the estimated active small-molecule stage pool requires a high-stakes AlphaForge engagement in a given year, that implies roughly</w:t>
      </w:r>
      <w:r>
        <w:t xml:space="preserve"> </w:t>
      </w:r>
      <w:r>
        <w:rPr>
          <w:b/>
          <w:bCs/>
        </w:rPr>
        <w:t xml:space="preserve">1,100–1,750 project opportunities annually</w:t>
      </w:r>
      <w:r>
        <w:t xml:space="preserve">. If the realized blended project ticket is about</w:t>
      </w:r>
      <w:r>
        <w:t xml:space="preserve"> </w:t>
      </w:r>
      <w:r>
        <w:rPr>
          <w:b/>
          <w:bCs/>
        </w:rPr>
        <w:t xml:space="preserve">$170k</w:t>
      </w:r>
      <w:r>
        <w:t xml:space="preserve"> </w:t>
      </w:r>
      <w:r>
        <w:t xml:space="preserve">across single-asset work, redesign work, and portfolio screens, that yields an annual</w:t>
      </w:r>
      <w:r>
        <w:t xml:space="preserve"> </w:t>
      </w:r>
      <w:r>
        <w:rPr>
          <w:b/>
          <w:bCs/>
        </w:rPr>
        <w:t xml:space="preserve">project TAM of roughly $190M–$300M</w:t>
      </w:r>
      <w:r>
        <w:t xml:space="preserve">. Adding annual platform collaborations—e.g.,</w:t>
      </w:r>
      <w:r>
        <w:t xml:space="preserve"> </w:t>
      </w:r>
      <w:r>
        <w:rPr>
          <w:b/>
          <w:bCs/>
        </w:rPr>
        <w:t xml:space="preserve">20 large-pharma targets at $2M–$5M</w:t>
      </w:r>
      <w:r>
        <w:t xml:space="preserve"> </w:t>
      </w:r>
      <w:r>
        <w:t xml:space="preserve">and</w:t>
      </w:r>
      <w:r>
        <w:t xml:space="preserve"> </w:t>
      </w:r>
      <w:r>
        <w:rPr>
          <w:b/>
          <w:bCs/>
        </w:rPr>
        <w:t xml:space="preserve">100–150 biotech targets at $0.5M–$1.5M</w:t>
      </w:r>
      <w:r>
        <w:t xml:space="preserve">—pushes a reasonable near-term</w:t>
      </w:r>
      <w:r>
        <w:t xml:space="preserve"> </w:t>
      </w:r>
      <w:r>
        <w:rPr>
          <w:b/>
          <w:bCs/>
        </w:rPr>
        <w:t xml:space="preserve">serviceable annual market into roughly the $275M–$625M range</w:t>
      </w:r>
      <w:r>
        <w:t xml:space="preserve">. That is a model-based estimate, not a published market-size figure, and it assumes a focused go-to-market on global small-molecule R&amp;D teams in pharma and mid-size biotech.</w:t>
      </w:r>
      <w:r>
        <w:t xml:space="preserve"> </w:t>
      </w:r>
      <w:hyperlink r:id="rId26">
        <w:r>
          <w:rPr>
            <w:rStyle w:val="Hyperlink"/>
          </w:rPr>
          <w:t xml:space="preserve">[7]</w:t>
        </w:r>
      </w:hyperlink>
    </w:p>
    <w:p>
      <w:pPr>
        <w:pStyle w:val="BodyText"/>
      </w:pPr>
      <w:r>
        <w:t xml:space="preserve">A second top-down reality check supports the same conclusion. Deloitte’s 2024 cohort of large biopharma companies spent against an expected</w:t>
      </w:r>
      <w:r>
        <w:t xml:space="preserve"> </w:t>
      </w:r>
      <w:r>
        <w:rPr>
          <w:b/>
          <w:bCs/>
        </w:rPr>
        <w:t xml:space="preserve">$2.23B</w:t>
      </w:r>
      <w:r>
        <w:t xml:space="preserve"> </w:t>
      </w:r>
      <w:r>
        <w:t xml:space="preserve">R&amp;D cost per launched asset, while the pipeline remains large and heavily outsourced to specialized tools, consultants, and partners. Even a product that captures only a</w:t>
      </w:r>
      <w:r>
        <w:t xml:space="preserve"> </w:t>
      </w:r>
      <w:r>
        <w:rPr>
          <w:b/>
          <w:bCs/>
        </w:rPr>
        <w:t xml:space="preserve">very small fraction of avoided waste or improved allocation</w:t>
      </w:r>
      <w:r>
        <w:t xml:space="preserve"> </w:t>
      </w:r>
      <w:r>
        <w:t xml:space="preserve">can sustain premium project pricing.</w:t>
      </w:r>
      <w:r>
        <w:t xml:space="preserve"> </w:t>
      </w:r>
      <w:hyperlink r:id="rId22">
        <w:r>
          <w:rPr>
            <w:rStyle w:val="Hyperlink"/>
          </w:rPr>
          <w:t xml:space="preserve">[8]</w:t>
        </w:r>
      </w:hyperlink>
    </w:p>
    <w:bookmarkEnd w:id="28"/>
    <w:bookmarkStart w:id="38" w:name="Xa68e33be3f06b31950d5a806a66deb5bd1ac394"/>
    <w:p>
      <w:pPr>
        <w:pStyle w:val="Heading2"/>
      </w:pPr>
      <w:r>
        <w:t xml:space="preserve">Competitive landscape and pricing benchmarks</w:t>
      </w:r>
    </w:p>
    <w:p>
      <w:pPr>
        <w:pStyle w:val="FirstParagraph"/>
      </w:pPr>
      <w:r>
        <w:t xml:space="preserve">There is no perfect apples-to-apples public comparator for</w:t>
      </w:r>
      <w:r>
        <w:t xml:space="preserve"> </w:t>
      </w:r>
      <w:r>
        <w:rPr>
          <w:b/>
          <w:bCs/>
        </w:rPr>
        <w:t xml:space="preserve">structure-first clinical liability prediction plus failure-mode explanation plus redesign guidance</w:t>
      </w:r>
      <w:r>
        <w:t xml:space="preserve">. The market instead splits into adjacent categories: development-risk AI, data and benchmarking platforms, consulting/diligence firms, and full AI discovery alliances.</w:t>
      </w:r>
      <w:r>
        <w:t xml:space="preserve"> </w:t>
      </w:r>
      <w:hyperlink r:id="rId29">
        <w:r>
          <w:rPr>
            <w:rStyle w:val="Hyperlink"/>
          </w:rPr>
          <w:t xml:space="preserve">[9]</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Competitor / category</w:t>
            </w:r>
          </w:p>
        </w:tc>
        <w:tc>
          <w:tcPr/>
          <w:p>
            <w:pPr>
              <w:pStyle w:val="Compact"/>
            </w:pPr>
            <w:r>
              <w:t xml:space="preserve">What they publicly sell</w:t>
            </w:r>
          </w:p>
        </w:tc>
        <w:tc>
          <w:tcPr/>
          <w:p>
            <w:pPr>
              <w:pStyle w:val="Compact"/>
            </w:pPr>
            <w:r>
              <w:t xml:space="preserve">Public economics or benchmark</w:t>
            </w:r>
          </w:p>
        </w:tc>
        <w:tc>
          <w:tcPr/>
          <w:p>
            <w:pPr>
              <w:pStyle w:val="Compact"/>
            </w:pPr>
            <w:r>
              <w:t xml:space="preserve">What it means for AlphaForge</w:t>
            </w:r>
          </w:p>
        </w:tc>
      </w:tr>
      <w:tr>
        <w:tc>
          <w:tcPr/>
          <w:p>
            <w:pPr>
              <w:pStyle w:val="Compact"/>
            </w:pPr>
            <w:r>
              <w:rPr>
                <w:b/>
                <w:bCs/>
              </w:rPr>
              <w:t xml:space="preserve">Intelligencia AI</w:t>
            </w:r>
          </w:p>
        </w:tc>
        <w:tc>
          <w:tcPr/>
          <w:p>
            <w:pPr>
              <w:pStyle w:val="Compact"/>
            </w:pPr>
            <w:r>
              <w:t xml:space="preserve">AI for portfolio risk, benchmarks, external innovation, clinical-development decision support</w:t>
            </w:r>
          </w:p>
        </w:tc>
        <w:tc>
          <w:tcPr/>
          <w:p>
            <w:pPr>
              <w:pStyle w:val="Compact"/>
            </w:pPr>
            <w:r>
              <w:t xml:space="preserve">Pricing not public. Public value claims include</w:t>
            </w:r>
            <w:r>
              <w:t xml:space="preserve"> </w:t>
            </w:r>
            <w:r>
              <w:rPr>
                <w:b/>
                <w:bCs/>
              </w:rPr>
              <w:t xml:space="preserve">&gt;$8M–$25M annual savings</w:t>
            </w:r>
            <w:r>
              <w:t xml:space="preserve"> </w:t>
            </w:r>
            <w:r>
              <w:t xml:space="preserve">from failed Phase II/III reduction,</w:t>
            </w:r>
            <w:r>
              <w:t xml:space="preserve"> </w:t>
            </w:r>
            <w:r>
              <w:rPr>
                <w:b/>
                <w:bCs/>
              </w:rPr>
              <w:t xml:space="preserve">$3M–$5M saved</w:t>
            </w:r>
            <w:r>
              <w:t xml:space="preserve"> </w:t>
            </w:r>
            <w:r>
              <w:t xml:space="preserve">for each 5-point PTRS forecasting error, and major portfolio-screening efficiency gains.</w:t>
            </w:r>
            <w:r>
              <w:t xml:space="preserve"> </w:t>
            </w:r>
            <w:hyperlink r:id="rId30">
              <w:r>
                <w:rPr>
                  <w:rStyle w:val="Hyperlink"/>
                </w:rPr>
                <w:t xml:space="preserve">[10]</w:t>
              </w:r>
            </w:hyperlink>
          </w:p>
        </w:tc>
        <w:tc>
          <w:tcPr/>
          <w:p>
            <w:pPr>
              <w:pStyle w:val="Compact"/>
            </w:pPr>
            <w:r>
              <w:t xml:space="preserve">Closest direct comp on “decision support.” AlphaForge can price near parity for risk work if it proves explainability + redesign.</w:t>
            </w:r>
          </w:p>
        </w:tc>
      </w:tr>
      <w:tr>
        <w:tc>
          <w:tcPr/>
          <w:p>
            <w:pPr>
              <w:pStyle w:val="Compact"/>
            </w:pPr>
            <w:r>
              <w:rPr>
                <w:b/>
                <w:bCs/>
              </w:rPr>
              <w:t xml:space="preserve">Evaluate Omnium</w:t>
            </w:r>
          </w:p>
        </w:tc>
        <w:tc>
          <w:tcPr/>
          <w:p>
            <w:pPr>
              <w:pStyle w:val="Compact"/>
            </w:pPr>
            <w:r>
              <w:t xml:space="preserve">ML-driven risk/return modeling across clinical pipeline, including early and private assets</w:t>
            </w:r>
          </w:p>
        </w:tc>
        <w:tc>
          <w:tcPr/>
          <w:p>
            <w:pPr>
              <w:pStyle w:val="Compact"/>
            </w:pPr>
            <w:r>
              <w:t xml:space="preserve">Pricing not public. Publicly positioned as ML over</w:t>
            </w:r>
            <w:r>
              <w:t xml:space="preserve"> </w:t>
            </w:r>
            <w:r>
              <w:rPr>
                <w:b/>
                <w:bCs/>
              </w:rPr>
              <w:t xml:space="preserve">6M data points and 26,000 R&amp;D programs</w:t>
            </w:r>
            <w:r>
              <w:t xml:space="preserve">.</w:t>
            </w:r>
            <w:r>
              <w:t xml:space="preserve"> </w:t>
            </w:r>
            <w:hyperlink r:id="rId31">
              <w:r>
                <w:rPr>
                  <w:rStyle w:val="Hyperlink"/>
                </w:rPr>
                <w:t xml:space="preserve">[11]</w:t>
              </w:r>
            </w:hyperlink>
          </w:p>
        </w:tc>
        <w:tc>
          <w:tcPr/>
          <w:p>
            <w:pPr>
              <w:pStyle w:val="Compact"/>
            </w:pPr>
            <w:r>
              <w:t xml:space="preserve">Strong adjacent benchmark for enterprise portfolio analytics, but less chemistry/action oriented.</w:t>
            </w:r>
          </w:p>
        </w:tc>
      </w:tr>
      <w:tr>
        <w:tc>
          <w:tcPr/>
          <w:p>
            <w:pPr>
              <w:pStyle w:val="Compact"/>
            </w:pPr>
            <w:r>
              <w:rPr>
                <w:b/>
                <w:bCs/>
              </w:rPr>
              <w:t xml:space="preserve">Clarivate Cortellis / OFF-X</w:t>
            </w:r>
          </w:p>
        </w:tc>
        <w:tc>
          <w:tcPr/>
          <w:p>
            <w:pPr>
              <w:pStyle w:val="Compact"/>
            </w:pPr>
            <w:r>
              <w:t xml:space="preserve">Drug discovery intelligence, clinical trials intelligence, translational safety, portfolio/BD consulting</w:t>
            </w:r>
          </w:p>
        </w:tc>
        <w:tc>
          <w:tcPr/>
          <w:p>
            <w:pPr>
              <w:pStyle w:val="Compact"/>
            </w:pPr>
            <w:r>
              <w:t xml:space="preserve">Pricing not public. Broad platform and consulting bundle.</w:t>
            </w:r>
            <w:r>
              <w:t xml:space="preserve"> </w:t>
            </w:r>
            <w:hyperlink r:id="rId32">
              <w:r>
                <w:rPr>
                  <w:rStyle w:val="Hyperlink"/>
                </w:rPr>
                <w:t xml:space="preserve">[12]</w:t>
              </w:r>
            </w:hyperlink>
          </w:p>
        </w:tc>
        <w:tc>
          <w:tcPr/>
          <w:p>
            <w:pPr>
              <w:pStyle w:val="Compact"/>
            </w:pPr>
            <w:r>
              <w:t xml:space="preserve">Data-rich competitor, but not a focused molecule-level failure-mode/redesign product.</w:t>
            </w:r>
          </w:p>
        </w:tc>
      </w:tr>
      <w:tr>
        <w:tc>
          <w:tcPr/>
          <w:p>
            <w:pPr>
              <w:pStyle w:val="Compact"/>
            </w:pPr>
            <w:r>
              <w:rPr>
                <w:b/>
                <w:bCs/>
              </w:rPr>
              <w:t xml:space="preserve">Citeline Trialtrove / Pharmaprojects</w:t>
            </w:r>
          </w:p>
        </w:tc>
        <w:tc>
          <w:tcPr/>
          <w:p>
            <w:pPr>
              <w:pStyle w:val="Compact"/>
            </w:pPr>
            <w:r>
              <w:t xml:space="preserve">Clinical-trial intelligence and pipeline intelligence used for trial design, due diligence, and sponsor targeting</w:t>
            </w:r>
          </w:p>
        </w:tc>
        <w:tc>
          <w:tcPr/>
          <w:p>
            <w:pPr>
              <w:pStyle w:val="Compact"/>
            </w:pPr>
            <w:r>
              <w:t xml:space="preserve">A recent NCI Trialtrove renewal showed a</w:t>
            </w:r>
            <w:r>
              <w:t xml:space="preserve"> </w:t>
            </w:r>
            <w:r>
              <w:rPr>
                <w:b/>
                <w:bCs/>
              </w:rPr>
              <w:t xml:space="preserve">$59.9k ceiling over 3 years</w:t>
            </w:r>
            <w:r>
              <w:t xml:space="preserve">, which is a useful lower-bound public benchmark for limited institutional data access; a bid-estimate site described likely SaaS budgets in the</w:t>
            </w:r>
            <w:r>
              <w:t xml:space="preserve"> </w:t>
            </w:r>
            <w:r>
              <w:rPr>
                <w:b/>
                <w:bCs/>
              </w:rPr>
              <w:t xml:space="preserve">$50k–$500k/year</w:t>
            </w:r>
            <w:r>
              <w:t xml:space="preserve"> </w:t>
            </w:r>
            <w:r>
              <w:t xml:space="preserve">range, but that estimate is not authoritative.</w:t>
            </w:r>
            <w:r>
              <w:t xml:space="preserve"> </w:t>
            </w:r>
            <w:hyperlink r:id="rId23">
              <w:r>
                <w:rPr>
                  <w:rStyle w:val="Hyperlink"/>
                </w:rPr>
                <w:t xml:space="preserve">[13]</w:t>
              </w:r>
            </w:hyperlink>
          </w:p>
        </w:tc>
        <w:tc>
          <w:tcPr/>
          <w:p>
            <w:pPr>
              <w:pStyle w:val="Compact"/>
            </w:pPr>
            <w:r>
              <w:t xml:space="preserve">Data subscription pricing sits far below AlphaForge’s action-oriented value; use as a “data-only floor,” not as AlphaForge parity pricing.</w:t>
            </w:r>
          </w:p>
        </w:tc>
      </w:tr>
      <w:tr>
        <w:tc>
          <w:tcPr/>
          <w:p>
            <w:pPr>
              <w:pStyle w:val="Compact"/>
            </w:pPr>
            <w:r>
              <w:rPr>
                <w:b/>
                <w:bCs/>
              </w:rPr>
              <w:t xml:space="preserve">ICON / Alacrita and similar consulting DD firms</w:t>
            </w:r>
          </w:p>
        </w:tc>
        <w:tc>
          <w:tcPr/>
          <w:p>
            <w:pPr>
              <w:pStyle w:val="Compact"/>
            </w:pPr>
            <w:r>
              <w:t xml:space="preserve">Technical and commercial due diligence, portfolio prioritization, asset valuation</w:t>
            </w:r>
          </w:p>
        </w:tc>
        <w:tc>
          <w:tcPr/>
          <w:p>
            <w:pPr>
              <w:pStyle w:val="Compact"/>
            </w:pPr>
            <w:r>
              <w:t xml:space="preserve">Public project pricing is usually undisclosed, but NIH’s life-science consulting guide gives broad drug-consulting ranges of</w:t>
            </w:r>
            <w:r>
              <w:t xml:space="preserve"> </w:t>
            </w:r>
            <w:r>
              <w:rPr>
                <w:b/>
                <w:bCs/>
              </w:rPr>
              <w:t xml:space="preserve">$50k to &gt;$500k</w:t>
            </w:r>
            <w:r>
              <w:t xml:space="preserve"> </w:t>
            </w:r>
            <w:r>
              <w:t xml:space="preserve">and hourly rates of</w:t>
            </w:r>
            <w:r>
              <w:t xml:space="preserve"> </w:t>
            </w:r>
            <w:r>
              <w:rPr>
                <w:b/>
                <w:bCs/>
              </w:rPr>
              <w:t xml:space="preserve">$100–$1,000+</w:t>
            </w:r>
            <w:r>
              <w:t xml:space="preserve">. ICON and Alacrita both explicitly market technical/commercial diligence.</w:t>
            </w:r>
            <w:r>
              <w:t xml:space="preserve"> </w:t>
            </w:r>
            <w:hyperlink r:id="rId33">
              <w:r>
                <w:rPr>
                  <w:rStyle w:val="Hyperlink"/>
                </w:rPr>
                <w:t xml:space="preserve">[14]</w:t>
              </w:r>
            </w:hyperlink>
          </w:p>
        </w:tc>
        <w:tc>
          <w:tcPr/>
          <w:p>
            <w:pPr>
              <w:pStyle w:val="Compact"/>
            </w:pPr>
            <w:r>
              <w:t xml:space="preserve">This is the most relevant benchmark for single-asset and redesign engagements. AlphaForge should price in the low- to mid-six-figure band.</w:t>
            </w:r>
          </w:p>
        </w:tc>
      </w:tr>
      <w:tr>
        <w:tc>
          <w:tcPr/>
          <w:p>
            <w:pPr>
              <w:pStyle w:val="Compact"/>
            </w:pPr>
            <w:r>
              <w:rPr>
                <w:b/>
                <w:bCs/>
              </w:rPr>
              <w:t xml:space="preserve">Owkin / K Pro</w:t>
            </w:r>
          </w:p>
        </w:tc>
        <w:tc>
          <w:tcPr/>
          <w:p>
            <w:pPr>
              <w:pStyle w:val="Compact"/>
            </w:pPr>
            <w:r>
              <w:t xml:space="preserve">AI copilot for clinical trial decisions, patient selection, portfolio decisions</w:t>
            </w:r>
          </w:p>
        </w:tc>
        <w:tc>
          <w:tcPr/>
          <w:p>
            <w:pPr>
              <w:pStyle w:val="Compact"/>
            </w:pPr>
            <w:r>
              <w:t xml:space="preserve">Owkin’s broader alliance history includes</w:t>
            </w:r>
            <w:r>
              <w:t xml:space="preserve"> </w:t>
            </w:r>
            <w:r>
              <w:rPr>
                <w:b/>
                <w:bCs/>
              </w:rPr>
              <w:t xml:space="preserve">$80M upfront + $100M milestones</w:t>
            </w:r>
            <w:r>
              <w:t xml:space="preserve"> </w:t>
            </w:r>
            <w:r>
              <w:t xml:space="preserve">with BMS and a</w:t>
            </w:r>
            <w:r>
              <w:t xml:space="preserve"> </w:t>
            </w:r>
            <w:r>
              <w:rPr>
                <w:b/>
                <w:bCs/>
              </w:rPr>
              <w:t xml:space="preserve">$270M Sanofi alliance</w:t>
            </w:r>
            <w:r>
              <w:t xml:space="preserve"> </w:t>
            </w:r>
            <w:r>
              <w:t xml:space="preserve">including a</w:t>
            </w:r>
            <w:r>
              <w:t xml:space="preserve"> </w:t>
            </w:r>
            <w:r>
              <w:rPr>
                <w:b/>
                <w:bCs/>
              </w:rPr>
              <w:t xml:space="preserve">$180M equity investment</w:t>
            </w:r>
            <w:r>
              <w:t xml:space="preserve"> </w:t>
            </w:r>
            <w:r>
              <w:t xml:space="preserve">and</w:t>
            </w:r>
            <w:r>
              <w:t xml:space="preserve"> </w:t>
            </w:r>
            <w:r>
              <w:rPr>
                <w:b/>
                <w:bCs/>
              </w:rPr>
              <w:t xml:space="preserve">$90M alliance funding</w:t>
            </w:r>
            <w:r>
              <w:t xml:space="preserve">. K Pro itself is quote-based.</w:t>
            </w:r>
            <w:r>
              <w:t xml:space="preserve"> </w:t>
            </w:r>
            <w:hyperlink r:id="rId34">
              <w:r>
                <w:rPr>
                  <w:rStyle w:val="Hyperlink"/>
                </w:rPr>
                <w:t xml:space="preserve">[15]</w:t>
              </w:r>
            </w:hyperlink>
          </w:p>
        </w:tc>
        <w:tc>
          <w:tcPr/>
          <w:p>
            <w:pPr>
              <w:pStyle w:val="Compact"/>
            </w:pPr>
            <w:r>
              <w:t xml:space="preserve">High-end benchmark for enterprise AI in biopharma when data, workflows, and strategic partnership are bundled.</w:t>
            </w:r>
          </w:p>
        </w:tc>
      </w:tr>
      <w:tr>
        <w:tc>
          <w:tcPr/>
          <w:p>
            <w:pPr>
              <w:pStyle w:val="Compact"/>
            </w:pPr>
            <w:r>
              <w:rPr>
                <w:b/>
                <w:bCs/>
              </w:rPr>
              <w:t xml:space="preserve">Iambic / Takeda</w:t>
            </w:r>
          </w:p>
        </w:tc>
        <w:tc>
          <w:tcPr/>
          <w:p>
            <w:pPr>
              <w:pStyle w:val="Compact"/>
            </w:pPr>
            <w:r>
              <w:t xml:space="preserve">Multi-year AI small-molecule discovery collaboration</w:t>
            </w:r>
          </w:p>
        </w:tc>
        <w:tc>
          <w:tcPr/>
          <w:p>
            <w:pPr>
              <w:pStyle w:val="Compact"/>
            </w:pPr>
            <w:r>
              <w:t xml:space="preserve">Publicly disclosed as</w:t>
            </w:r>
            <w:r>
              <w:t xml:space="preserve"> </w:t>
            </w:r>
            <w:r>
              <w:rPr>
                <w:b/>
                <w:bCs/>
              </w:rPr>
              <w:t xml:space="preserve">upfront + research + technology access payments</w:t>
            </w:r>
            <w:r>
              <w:t xml:space="preserve">, with success-based payments that</w:t>
            </w:r>
            <w:r>
              <w:t xml:space="preserve"> </w:t>
            </w:r>
            <w:r>
              <w:rPr>
                <w:b/>
                <w:bCs/>
              </w:rPr>
              <w:t xml:space="preserve">could exceed $1.7B</w:t>
            </w:r>
            <w:r>
              <w:t xml:space="preserve">, plus royalties.</w:t>
            </w:r>
            <w:r>
              <w:t xml:space="preserve"> </w:t>
            </w:r>
            <w:hyperlink r:id="rId35">
              <w:r>
                <w:rPr>
                  <w:rStyle w:val="Hyperlink"/>
                </w:rPr>
                <w:t xml:space="preserve">[16]</w:t>
              </w:r>
            </w:hyperlink>
          </w:p>
        </w:tc>
        <w:tc>
          <w:tcPr/>
          <w:p>
            <w:pPr>
              <w:pStyle w:val="Compact"/>
            </w:pPr>
            <w:r>
              <w:t xml:space="preserve">Useful ceiling for what AI-enabled small-molecule partnerships can command when they include discovery and program economics.</w:t>
            </w:r>
          </w:p>
        </w:tc>
      </w:tr>
      <w:tr>
        <w:tc>
          <w:tcPr/>
          <w:p>
            <w:pPr>
              <w:pStyle w:val="Compact"/>
            </w:pPr>
            <w:r>
              <w:rPr>
                <w:b/>
                <w:bCs/>
              </w:rPr>
              <w:t xml:space="preserve">AstraZeneca / CSPC</w:t>
            </w:r>
          </w:p>
        </w:tc>
        <w:tc>
          <w:tcPr/>
          <w:p>
            <w:pPr>
              <w:pStyle w:val="Compact"/>
            </w:pPr>
            <w:r>
              <w:t xml:space="preserve">AI-enabled small-molecule oral discovery collaboration</w:t>
            </w:r>
          </w:p>
        </w:tc>
        <w:tc>
          <w:tcPr/>
          <w:p>
            <w:pPr>
              <w:pStyle w:val="Compact"/>
            </w:pPr>
            <w:r>
              <w:rPr>
                <w:b/>
                <w:bCs/>
              </w:rPr>
              <w:t xml:space="preserve">$110M upfront</w:t>
            </w:r>
            <w:r>
              <w:t xml:space="preserve">, up to</w:t>
            </w:r>
            <w:r>
              <w:t xml:space="preserve"> </w:t>
            </w:r>
            <w:r>
              <w:rPr>
                <w:b/>
                <w:bCs/>
              </w:rPr>
              <w:t xml:space="preserve">$1.62B development milestones</w:t>
            </w:r>
            <w:r>
              <w:t xml:space="preserve">, up to</w:t>
            </w:r>
            <w:r>
              <w:t xml:space="preserve"> </w:t>
            </w:r>
            <w:r>
              <w:rPr>
                <w:b/>
                <w:bCs/>
              </w:rPr>
              <w:t xml:space="preserve">$3.6B sales milestones</w:t>
            </w:r>
            <w:r>
              <w:t xml:space="preserve">, plus royalties.</w:t>
            </w:r>
            <w:r>
              <w:t xml:space="preserve"> </w:t>
            </w:r>
            <w:hyperlink r:id="rId36">
              <w:r>
                <w:rPr>
                  <w:rStyle w:val="Hyperlink"/>
                </w:rPr>
                <w:t xml:space="preserve">[17]</w:t>
              </w:r>
            </w:hyperlink>
          </w:p>
        </w:tc>
        <w:tc>
          <w:tcPr/>
          <w:p>
            <w:pPr>
              <w:pStyle w:val="Compact"/>
            </w:pPr>
            <w:r>
              <w:t xml:space="preserve">Confirms that AI-small-molecule partnerships can justify huge economics, but only when they include option rights and candidate creation.</w:t>
            </w:r>
          </w:p>
        </w:tc>
      </w:tr>
      <w:tr>
        <w:tc>
          <w:tcPr/>
          <w:p>
            <w:pPr>
              <w:pStyle w:val="Compact"/>
            </w:pPr>
            <w:r>
              <w:rPr>
                <w:b/>
                <w:bCs/>
              </w:rPr>
              <w:t xml:space="preserve">Insilico / Lilly</w:t>
            </w:r>
          </w:p>
        </w:tc>
        <w:tc>
          <w:tcPr/>
          <w:p>
            <w:pPr>
              <w:pStyle w:val="Compact"/>
            </w:pPr>
            <w:r>
              <w:t xml:space="preserve">AI-driven research and licensing collaboration</w:t>
            </w:r>
          </w:p>
        </w:tc>
        <w:tc>
          <w:tcPr/>
          <w:p>
            <w:pPr>
              <w:pStyle w:val="Compact"/>
            </w:pPr>
            <w:r>
              <w:t xml:space="preserve">Publicly disclosed as</w:t>
            </w:r>
            <w:r>
              <w:t xml:space="preserve"> </w:t>
            </w:r>
            <w:r>
              <w:rPr>
                <w:b/>
                <w:bCs/>
              </w:rPr>
              <w:t xml:space="preserve">over $100M</w:t>
            </w:r>
            <w:r>
              <w:t xml:space="preserve"> </w:t>
            </w:r>
            <w:r>
              <w:t xml:space="preserve">including upfront, milestones, and royalties; it expanded from a prior software licensing relationship.</w:t>
            </w:r>
            <w:r>
              <w:t xml:space="preserve"> </w:t>
            </w:r>
            <w:hyperlink r:id="rId37">
              <w:r>
                <w:rPr>
                  <w:rStyle w:val="Hyperlink"/>
                </w:rPr>
                <w:t xml:space="preserve">[18]</w:t>
              </w:r>
            </w:hyperlink>
          </w:p>
        </w:tc>
        <w:tc>
          <w:tcPr/>
          <w:p>
            <w:pPr>
              <w:pStyle w:val="Compact"/>
            </w:pPr>
            <w:r>
              <w:t xml:space="preserve">Supports a land-and-expand model from software/licensing to deeper asset economics.</w:t>
            </w:r>
          </w:p>
        </w:tc>
      </w:tr>
    </w:tbl>
    <w:p>
      <w:pPr>
        <w:pStyle w:val="BodyText"/>
      </w:pPr>
      <w:r>
        <w:t xml:space="preserve">The clearest pricing conclusion from this landscape is that AlphaForge should</w:t>
      </w:r>
      <w:r>
        <w:t xml:space="preserve"> </w:t>
      </w:r>
      <w:r>
        <w:rPr>
          <w:b/>
          <w:bCs/>
        </w:rPr>
        <w:t xml:space="preserve">not</w:t>
      </w:r>
      <w:r>
        <w:t xml:space="preserve"> </w:t>
      </w:r>
      <w:r>
        <w:t xml:space="preserve">benchmark itself against basic database subscriptions, and it should</w:t>
      </w:r>
      <w:r>
        <w:t xml:space="preserve"> </w:t>
      </w:r>
      <w:r>
        <w:rPr>
          <w:b/>
          <w:bCs/>
        </w:rPr>
        <w:t xml:space="preserve">not yet</w:t>
      </w:r>
      <w:r>
        <w:t xml:space="preserve"> </w:t>
      </w:r>
      <w:r>
        <w:t xml:space="preserve">price itself like a full-stack discovery platform. The right lane is</w:t>
      </w:r>
      <w:r>
        <w:t xml:space="preserve"> </w:t>
      </w:r>
      <w:r>
        <w:rPr>
          <w:b/>
          <w:bCs/>
        </w:rPr>
        <w:t xml:space="preserve">premium decision intelligence priced off avoided asset waste</w:t>
      </w:r>
      <w:r>
        <w:t xml:space="preserve">, with optional step-ups into deeper collaboration.</w:t>
      </w:r>
      <w:r>
        <w:t xml:space="preserve"> </w:t>
      </w:r>
      <w:hyperlink r:id="rId29">
        <w:r>
          <w:rPr>
            <w:rStyle w:val="Hyperlink"/>
          </w:rPr>
          <w:t xml:space="preserve">[19]</w:t>
        </w:r>
      </w:hyperlink>
    </w:p>
    <w:bookmarkEnd w:id="38"/>
    <w:bookmarkStart w:id="40" w:name="value-model-and-stage-economics"/>
    <w:p>
      <w:pPr>
        <w:pStyle w:val="Heading2"/>
      </w:pPr>
      <w:r>
        <w:t xml:space="preserve">Value model and stage economics</w:t>
      </w:r>
    </w:p>
    <w:p>
      <w:pPr>
        <w:pStyle w:val="FirstParagraph"/>
      </w:pPr>
      <w:r>
        <w:t xml:space="preserve">A conservative cost model shows why pharma should pay meaningful prices for AlphaForge. The Congressional Budget Office / NCBI phase-cost model reports average out-of-pocket costs of roughly</w:t>
      </w:r>
      <w:r>
        <w:t xml:space="preserve"> </w:t>
      </w:r>
      <w:r>
        <w:rPr>
          <w:b/>
          <w:bCs/>
        </w:rPr>
        <w:t xml:space="preserve">$11.8M preclinical</w:t>
      </w:r>
      <w:r>
        <w:t xml:space="preserve">,</w:t>
      </w:r>
      <w:r>
        <w:t xml:space="preserve"> </w:t>
      </w:r>
      <w:r>
        <w:rPr>
          <w:b/>
          <w:bCs/>
        </w:rPr>
        <w:t xml:space="preserve">$7.1M Phase I</w:t>
      </w:r>
      <w:r>
        <w:t xml:space="preserve">,</w:t>
      </w:r>
      <w:r>
        <w:t xml:space="preserve"> </w:t>
      </w:r>
      <w:r>
        <w:rPr>
          <w:b/>
          <w:bCs/>
        </w:rPr>
        <w:t xml:space="preserve">$21.0M Phase II</w:t>
      </w:r>
      <w:r>
        <w:t xml:space="preserve">,</w:t>
      </w:r>
      <w:r>
        <w:t xml:space="preserve"> </w:t>
      </w:r>
      <w:r>
        <w:rPr>
          <w:b/>
          <w:bCs/>
        </w:rPr>
        <w:t xml:space="preserve">$89.3M Phase III</w:t>
      </w:r>
      <w:r>
        <w:t xml:space="preserve">, and</w:t>
      </w:r>
      <w:r>
        <w:t xml:space="preserve"> </w:t>
      </w:r>
      <w:r>
        <w:rPr>
          <w:b/>
          <w:bCs/>
        </w:rPr>
        <w:t xml:space="preserve">$2.6M review</w:t>
      </w:r>
      <w:r>
        <w:t xml:space="preserve">, while BIO’s 2011–2020 novel-drug dataset reports small-molecule/NME transition rates of</w:t>
      </w:r>
      <w:r>
        <w:t xml:space="preserve"> </w:t>
      </w:r>
      <w:r>
        <w:rPr>
          <w:b/>
          <w:bCs/>
        </w:rPr>
        <w:t xml:space="preserve">50.6% Phase I→II</w:t>
      </w:r>
      <w:r>
        <w:t xml:space="preserve">,</w:t>
      </w:r>
      <w:r>
        <w:t xml:space="preserve"> </w:t>
      </w:r>
      <w:r>
        <w:rPr>
          <w:b/>
          <w:bCs/>
        </w:rPr>
        <w:t xml:space="preserve">25.6% Phase II→III</w:t>
      </w:r>
      <w:r>
        <w:t xml:space="preserve">,</w:t>
      </w:r>
      <w:r>
        <w:t xml:space="preserve"> </w:t>
      </w:r>
      <w:r>
        <w:rPr>
          <w:b/>
          <w:bCs/>
        </w:rPr>
        <w:t xml:space="preserve">50.6% Phase III→filing</w:t>
      </w:r>
      <w:r>
        <w:t xml:space="preserve">, and</w:t>
      </w:r>
      <w:r>
        <w:t xml:space="preserve"> </w:t>
      </w:r>
      <w:r>
        <w:rPr>
          <w:b/>
          <w:bCs/>
        </w:rPr>
        <w:t xml:space="preserve">86.1% filing→approval</w:t>
      </w:r>
      <w:r>
        <w:t xml:space="preserve">.</w:t>
      </w:r>
      <w:r>
        <w:t xml:space="preserve"> </w:t>
      </w:r>
      <w:hyperlink r:id="rId39">
        <w:r>
          <w:rPr>
            <w:rStyle w:val="Hyperlink"/>
          </w:rPr>
          <w:t xml:space="preserve">[20]</w:t>
        </w:r>
      </w:hyperlink>
    </w:p>
    <w:p>
      <w:pPr>
        <w:pStyle w:val="BodyText"/>
      </w:pPr>
      <w:r>
        <w:t xml:space="preserve">Using those inputs, the</w:t>
      </w:r>
      <w:r>
        <w:t xml:space="preserve"> </w:t>
      </w:r>
      <w:r>
        <w:rPr>
          <w:b/>
          <w:bCs/>
        </w:rPr>
        <w:t xml:space="preserve">gross avoidable future spend</w:t>
      </w:r>
      <w:r>
        <w:t xml:space="preserve"> </w:t>
      </w:r>
      <w:r>
        <w:t xml:space="preserve">from stopping a doomed small-molecule program at a stage gate is approximately: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Stage gate</w:t>
            </w:r>
          </w:p>
        </w:tc>
        <w:tc>
          <w:tcPr/>
          <w:p>
            <w:pPr>
              <w:pStyle w:val="Compact"/>
              <w:jc w:val="right"/>
            </w:pPr>
            <w:r>
              <w:t xml:space="preserve">Gross avoidable future spend if a doomed program is stopped</w:t>
            </w:r>
          </w:p>
        </w:tc>
      </w:tr>
      <w:tr>
        <w:tc>
          <w:tcPr/>
          <w:p>
            <w:pPr>
              <w:pStyle w:val="Compact"/>
            </w:pPr>
            <w:r>
              <w:t xml:space="preserve">Preclinical / DC gate</w:t>
            </w:r>
          </w:p>
        </w:tc>
        <w:tc>
          <w:tcPr/>
          <w:p>
            <w:pPr>
              <w:pStyle w:val="Compact"/>
              <w:jc w:val="right"/>
            </w:pPr>
            <w:r>
              <w:rPr>
                <w:b/>
                <w:bCs/>
              </w:rPr>
              <w:t xml:space="preserve">$31.8M</w:t>
            </w:r>
          </w:p>
        </w:tc>
      </w:tr>
      <w:tr>
        <w:tc>
          <w:tcPr/>
          <w:p>
            <w:pPr>
              <w:pStyle w:val="Compact"/>
            </w:pPr>
            <w:r>
              <w:t xml:space="preserve">Phase I gate</w:t>
            </w:r>
          </w:p>
        </w:tc>
        <w:tc>
          <w:tcPr/>
          <w:p>
            <w:pPr>
              <w:pStyle w:val="Compact"/>
              <w:jc w:val="right"/>
            </w:pPr>
            <w:r>
              <w:rPr>
                <w:b/>
                <w:bCs/>
              </w:rPr>
              <w:t xml:space="preserve">$29.5M</w:t>
            </w:r>
          </w:p>
        </w:tc>
      </w:tr>
      <w:tr>
        <w:tc>
          <w:tcPr/>
          <w:p>
            <w:pPr>
              <w:pStyle w:val="Compact"/>
            </w:pPr>
            <w:r>
              <w:t xml:space="preserve">Phase II gate</w:t>
            </w:r>
          </w:p>
        </w:tc>
        <w:tc>
          <w:tcPr/>
          <w:p>
            <w:pPr>
              <w:pStyle w:val="Compact"/>
              <w:jc w:val="right"/>
            </w:pPr>
            <w:r>
              <w:rPr>
                <w:b/>
                <w:bCs/>
              </w:rPr>
              <w:t xml:space="preserve">$44.2M</w:t>
            </w:r>
          </w:p>
        </w:tc>
      </w:tr>
      <w:tr>
        <w:tc>
          <w:tcPr/>
          <w:p>
            <w:pPr>
              <w:pStyle w:val="Compact"/>
            </w:pPr>
            <w:r>
              <w:t xml:space="preserve">Phase III gate</w:t>
            </w:r>
          </w:p>
        </w:tc>
        <w:tc>
          <w:tcPr/>
          <w:p>
            <w:pPr>
              <w:pStyle w:val="Compact"/>
              <w:jc w:val="right"/>
            </w:pPr>
            <w:r>
              <w:rPr>
                <w:b/>
                <w:bCs/>
              </w:rPr>
              <w:t xml:space="preserve">$90.6M</w:t>
            </w:r>
          </w:p>
        </w:tc>
      </w:tr>
    </w:tbl>
    <w:p>
      <w:pPr>
        <w:pStyle w:val="BodyText"/>
      </w:pPr>
      <w:r>
        <w:t xml:space="preserve">These are model-derived estimates from published cost and transition-rate sources, not vendor-reported realized savings. They assume the stop decision happens before that stage’s spend is substantially incurred.</w:t>
      </w:r>
      <w:r>
        <w:t xml:space="preserve"> </w:t>
      </w:r>
      <w:hyperlink r:id="rId39">
        <w:r>
          <w:rPr>
            <w:rStyle w:val="Hyperlink"/>
          </w:rPr>
          <w:t xml:space="preserve">[20]</w:t>
        </w:r>
      </w:hyperlink>
    </w:p>
    <w:p>
      <w:pPr>
        <w:pStyle w:val="SourceCode"/>
      </w:pPr>
      <w:r>
        <w:rPr>
          <w:rStyle w:val="VerbatimChar"/>
        </w:rPr>
        <w:t xml:space="preserve">xychart-beta</w:t>
      </w:r>
      <w:r>
        <w:br/>
      </w:r>
      <w:r>
        <w:rPr>
          <w:rStyle w:val="VerbatimChar"/>
        </w:rPr>
        <w:t xml:space="preserve">    title "Gross avoidable future spend from stopping one doomed small-molecule program at stage gate"</w:t>
      </w:r>
      <w:r>
        <w:br/>
      </w:r>
      <w:r>
        <w:rPr>
          <w:rStyle w:val="VerbatimChar"/>
        </w:rPr>
        <w:t xml:space="preserve">    x-axis ["Preclinical","Phase 1","Phase 2","Phase 3"]</w:t>
      </w:r>
      <w:r>
        <w:br/>
      </w:r>
      <w:r>
        <w:rPr>
          <w:rStyle w:val="VerbatimChar"/>
        </w:rPr>
        <w:t xml:space="preserve">    y-axis "USDm" 0 --&gt; 100</w:t>
      </w:r>
      <w:r>
        <w:br/>
      </w:r>
      <w:r>
        <w:rPr>
          <w:rStyle w:val="VerbatimChar"/>
        </w:rPr>
        <w:t xml:space="preserve">    bar [31.8,29.5,44.2,90.6]</w:t>
      </w:r>
    </w:p>
    <w:p>
      <w:pPr>
        <w:pStyle w:val="FirstParagraph"/>
      </w:pPr>
      <w:r>
        <w:t xml:space="preserve">The raw answer to “where is the biggest money saver?” is</w:t>
      </w:r>
      <w:r>
        <w:t xml:space="preserve"> </w:t>
      </w:r>
      <w:r>
        <w:rPr>
          <w:b/>
          <w:bCs/>
        </w:rPr>
        <w:t xml:space="preserve">Phase III</w:t>
      </w:r>
      <w:r>
        <w:t xml:space="preserve">, because the remaining spend at risk is the largest. But the better commercial answer is more nuanced.</w:t>
      </w:r>
      <w:r>
        <w:t xml:space="preserve"> </w:t>
      </w:r>
      <w:r>
        <w:rPr>
          <w:b/>
          <w:bCs/>
        </w:rPr>
        <w:t xml:space="preserve">BIO identifies Phase II as the main development bottleneck</w:t>
      </w:r>
      <w:r>
        <w:t xml:space="preserve">, and Phase II is often where boards and portfolio committees still make real go/no-go decisions while replacement or redesign is still feasible. So the best first commercial wedge is usually</w:t>
      </w:r>
      <w:r>
        <w:t xml:space="preserve"> </w:t>
      </w:r>
      <w:r>
        <w:rPr>
          <w:b/>
          <w:bCs/>
        </w:rPr>
        <w:t xml:space="preserve">Phase II go/no-go</w:t>
      </w:r>
      <w:r>
        <w:t xml:space="preserve"> </w:t>
      </w:r>
      <w:r>
        <w:t xml:space="preserve">and</w:t>
      </w:r>
      <w:r>
        <w:t xml:space="preserve"> </w:t>
      </w:r>
      <w:r>
        <w:rPr>
          <w:b/>
          <w:bCs/>
        </w:rPr>
        <w:t xml:space="preserve">preclinical/DC prioritization</w:t>
      </w:r>
      <w:r>
        <w:t xml:space="preserve">: Phase III has the biggest raw dollar exposure, but it is also the hardest place organizationally to stop a program. That is an inference from published cost/success patterns and typical portfolio dynamics, not a public benchmark study of buying behavior.</w:t>
      </w:r>
      <w:r>
        <w:t xml:space="preserve"> </w:t>
      </w:r>
      <w:hyperlink r:id="rId22">
        <w:r>
          <w:rPr>
            <w:rStyle w:val="Hyperlink"/>
          </w:rPr>
          <w:t xml:space="preserve">[21]</w:t>
        </w:r>
      </w:hyperlink>
    </w:p>
    <w:p>
      <w:pPr>
        <w:pStyle w:val="BodyText"/>
      </w:pPr>
      <w:r>
        <w:t xml:space="preserve">A conservative expected-value view still supports strong ROI. If only</w:t>
      </w:r>
      <w:r>
        <w:t xml:space="preserve"> </w:t>
      </w:r>
      <w:r>
        <w:rPr>
          <w:b/>
          <w:bCs/>
        </w:rPr>
        <w:t xml:space="preserve">5%</w:t>
      </w:r>
      <w:r>
        <w:t xml:space="preserve"> </w:t>
      </w:r>
      <w:r>
        <w:t xml:space="preserve">of AlphaForge analyses actually change a sponsor decision and only</w:t>
      </w:r>
      <w:r>
        <w:t xml:space="preserve"> </w:t>
      </w:r>
      <w:r>
        <w:rPr>
          <w:b/>
          <w:bCs/>
        </w:rPr>
        <w:t xml:space="preserve">70%</w:t>
      </w:r>
      <w:r>
        <w:t xml:space="preserve"> </w:t>
      </w:r>
      <w:r>
        <w:t xml:space="preserve">of those changed stop decisions are ultimately correct, expected client value per analysis still looks attractive: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jc w:val="right"/>
            </w:pPr>
            <w:r>
              <w:t xml:space="preserve">Conservative expected client value per analysis</w:t>
            </w:r>
          </w:p>
        </w:tc>
        <w:tc>
          <w:tcPr/>
          <w:p>
            <w:pPr>
              <w:pStyle w:val="Compact"/>
              <w:jc w:val="right"/>
            </w:pPr>
            <w:r>
              <w:t xml:space="preserve">Suggested single-asset AlphaForge price</w:t>
            </w:r>
          </w:p>
        </w:tc>
        <w:tc>
          <w:tcPr/>
          <w:p>
            <w:pPr>
              <w:pStyle w:val="Compact"/>
              <w:jc w:val="right"/>
            </w:pPr>
            <w:r>
              <w:t xml:space="preserve">Implied EV / price</w:t>
            </w:r>
          </w:p>
        </w:tc>
      </w:tr>
      <w:tr>
        <w:tc>
          <w:tcPr/>
          <w:p>
            <w:pPr>
              <w:pStyle w:val="Compact"/>
            </w:pPr>
            <w:r>
              <w:t xml:space="preserve">Preclinical</w:t>
            </w:r>
          </w:p>
        </w:tc>
        <w:tc>
          <w:tcPr/>
          <w:p>
            <w:pPr>
              <w:pStyle w:val="Compact"/>
              <w:jc w:val="right"/>
            </w:pPr>
            <w:r>
              <w:rPr>
                <w:b/>
                <w:bCs/>
              </w:rPr>
              <w:t xml:space="preserve">$1.11M</w:t>
            </w:r>
          </w:p>
        </w:tc>
        <w:tc>
          <w:tcPr/>
          <w:p>
            <w:pPr>
              <w:pStyle w:val="Compact"/>
              <w:jc w:val="right"/>
            </w:pPr>
            <w:r>
              <w:rPr>
                <w:b/>
                <w:bCs/>
              </w:rPr>
              <w:t xml:space="preserve">$60k</w:t>
            </w:r>
          </w:p>
        </w:tc>
        <w:tc>
          <w:tcPr/>
          <w:p>
            <w:pPr>
              <w:pStyle w:val="Compact"/>
              <w:jc w:val="right"/>
            </w:pPr>
            <w:r>
              <w:rPr>
                <w:b/>
                <w:bCs/>
              </w:rPr>
              <w:t xml:space="preserve">18.6x</w:t>
            </w:r>
          </w:p>
        </w:tc>
      </w:tr>
      <w:tr>
        <w:tc>
          <w:tcPr/>
          <w:p>
            <w:pPr>
              <w:pStyle w:val="Compact"/>
            </w:pPr>
            <w:r>
              <w:t xml:space="preserve">Phase I</w:t>
            </w:r>
          </w:p>
        </w:tc>
        <w:tc>
          <w:tcPr/>
          <w:p>
            <w:pPr>
              <w:pStyle w:val="Compact"/>
              <w:jc w:val="right"/>
            </w:pPr>
            <w:r>
              <w:rPr>
                <w:b/>
                <w:bCs/>
              </w:rPr>
              <w:t xml:space="preserve">$1.03M</w:t>
            </w:r>
          </w:p>
        </w:tc>
        <w:tc>
          <w:tcPr/>
          <w:p>
            <w:pPr>
              <w:pStyle w:val="Compact"/>
              <w:jc w:val="right"/>
            </w:pPr>
            <w:r>
              <w:rPr>
                <w:b/>
                <w:bCs/>
              </w:rPr>
              <w:t xml:space="preserve">$90k</w:t>
            </w:r>
          </w:p>
        </w:tc>
        <w:tc>
          <w:tcPr/>
          <w:p>
            <w:pPr>
              <w:pStyle w:val="Compact"/>
              <w:jc w:val="right"/>
            </w:pPr>
            <w:r>
              <w:rPr>
                <w:b/>
                <w:bCs/>
              </w:rPr>
              <w:t xml:space="preserve">11.5x</w:t>
            </w:r>
          </w:p>
        </w:tc>
      </w:tr>
      <w:tr>
        <w:tc>
          <w:tcPr/>
          <w:p>
            <w:pPr>
              <w:pStyle w:val="Compact"/>
            </w:pPr>
            <w:r>
              <w:t xml:space="preserve">Phase II</w:t>
            </w:r>
          </w:p>
        </w:tc>
        <w:tc>
          <w:tcPr/>
          <w:p>
            <w:pPr>
              <w:pStyle w:val="Compact"/>
              <w:jc w:val="right"/>
            </w:pPr>
            <w:r>
              <w:rPr>
                <w:b/>
                <w:bCs/>
              </w:rPr>
              <w:t xml:space="preserve">$1.55M</w:t>
            </w:r>
          </w:p>
        </w:tc>
        <w:tc>
          <w:tcPr/>
          <w:p>
            <w:pPr>
              <w:pStyle w:val="Compact"/>
              <w:jc w:val="right"/>
            </w:pPr>
            <w:r>
              <w:rPr>
                <w:b/>
                <w:bCs/>
              </w:rPr>
              <w:t xml:space="preserve">$125k</w:t>
            </w:r>
          </w:p>
        </w:tc>
        <w:tc>
          <w:tcPr/>
          <w:p>
            <w:pPr>
              <w:pStyle w:val="Compact"/>
              <w:jc w:val="right"/>
            </w:pPr>
            <w:r>
              <w:rPr>
                <w:b/>
                <w:bCs/>
              </w:rPr>
              <w:t xml:space="preserve">12.4x</w:t>
            </w:r>
          </w:p>
        </w:tc>
      </w:tr>
      <w:tr>
        <w:tc>
          <w:tcPr/>
          <w:p>
            <w:pPr>
              <w:pStyle w:val="Compact"/>
            </w:pPr>
            <w:r>
              <w:t xml:space="preserve">Phase III</w:t>
            </w:r>
          </w:p>
        </w:tc>
        <w:tc>
          <w:tcPr/>
          <w:p>
            <w:pPr>
              <w:pStyle w:val="Compact"/>
              <w:jc w:val="right"/>
            </w:pPr>
            <w:r>
              <w:rPr>
                <w:b/>
                <w:bCs/>
              </w:rPr>
              <w:t xml:space="preserve">$3.17M</w:t>
            </w:r>
          </w:p>
        </w:tc>
        <w:tc>
          <w:tcPr/>
          <w:p>
            <w:pPr>
              <w:pStyle w:val="Compact"/>
              <w:jc w:val="right"/>
            </w:pPr>
            <w:r>
              <w:rPr>
                <w:b/>
                <w:bCs/>
              </w:rPr>
              <w:t xml:space="preserve">$175k</w:t>
            </w:r>
          </w:p>
        </w:tc>
        <w:tc>
          <w:tcPr/>
          <w:p>
            <w:pPr>
              <w:pStyle w:val="Compact"/>
              <w:jc w:val="right"/>
            </w:pPr>
            <w:r>
              <w:rPr>
                <w:b/>
                <w:bCs/>
              </w:rPr>
              <w:t xml:space="preserve">18.1x</w:t>
            </w:r>
          </w:p>
        </w:tc>
      </w:tr>
    </w:tbl>
    <w:p>
      <w:pPr>
        <w:pStyle w:val="BodyText"/>
      </w:pPr>
      <w:r>
        <w:t xml:space="preserve">These are scenario assumptions, not AlphaForge-validated conversion rates. They are meant to test whether the proposed pricing is directionally reasonable relative to client economics.</w:t>
      </w:r>
      <w:r>
        <w:t xml:space="preserve"> </w:t>
      </w:r>
      <w:hyperlink r:id="rId39">
        <w:r>
          <w:rPr>
            <w:rStyle w:val="Hyperlink"/>
          </w:rPr>
          <w:t xml:space="preserve">[20]</w:t>
        </w:r>
      </w:hyperlink>
    </w:p>
    <w:p>
      <w:pPr>
        <w:pStyle w:val="SourceCode"/>
      </w:pPr>
      <w:r>
        <w:rPr>
          <w:rStyle w:val="VerbatimChar"/>
        </w:rPr>
        <w:t xml:space="preserve">xychart-beta</w:t>
      </w:r>
      <w:r>
        <w:br/>
      </w:r>
      <w:r>
        <w:rPr>
          <w:rStyle w:val="VerbatimChar"/>
        </w:rPr>
        <w:t xml:space="preserve">    title "Conservative expected client value per analysis versus recommended AlphaForge price"</w:t>
      </w:r>
      <w:r>
        <w:br/>
      </w:r>
      <w:r>
        <w:rPr>
          <w:rStyle w:val="VerbatimChar"/>
        </w:rPr>
        <w:t xml:space="preserve">    x-axis ["Preclinical","Phase 1","Phase 2","Phase 3"]</w:t>
      </w:r>
      <w:r>
        <w:br/>
      </w:r>
      <w:r>
        <w:rPr>
          <w:rStyle w:val="VerbatimChar"/>
        </w:rPr>
        <w:t xml:space="preserve">    y-axis "USDm" 0 --&gt; 3.5</w:t>
      </w:r>
      <w:r>
        <w:br/>
      </w:r>
      <w:r>
        <w:rPr>
          <w:rStyle w:val="VerbatimChar"/>
        </w:rPr>
        <w:t xml:space="preserve">    bar [1.11,1.03,1.55,3.17]</w:t>
      </w:r>
      <w:r>
        <w:br/>
      </w:r>
      <w:r>
        <w:rPr>
          <w:rStyle w:val="VerbatimChar"/>
        </w:rPr>
        <w:t xml:space="preserve">    line [0.06,0.09,0.125,0.175]</w:t>
      </w:r>
    </w:p>
    <w:bookmarkEnd w:id="40"/>
    <w:bookmarkStart w:id="41" w:name="X05c1fd3c5a7b6e3c197960ebd1087f1003039b2"/>
    <w:p>
      <w:pPr>
        <w:pStyle w:val="Heading2"/>
      </w:pPr>
      <w:r>
        <w:t xml:space="preserve">Recommended pricing and go-to-market strategy</w:t>
      </w:r>
    </w:p>
    <w:p>
      <w:pPr>
        <w:pStyle w:val="FirstParagraph"/>
      </w:pPr>
      <w:r>
        <w:t xml:space="preserve">The most coherent commercial model is a</w:t>
      </w:r>
      <w:r>
        <w:t xml:space="preserve"> </w:t>
      </w:r>
      <w:r>
        <w:rPr>
          <w:b/>
          <w:bCs/>
        </w:rPr>
        <w:t xml:space="preserve">land-and-expand pricing ladder</w:t>
      </w:r>
      <w:r>
        <w:t xml:space="preserve">.</w:t>
      </w:r>
    </w:p>
    <w:p>
      <w:pPr>
        <w:pStyle w:val="SourceCode"/>
      </w:pPr>
      <w:r>
        <w:rPr>
          <w:rStyle w:val="VerbatimChar"/>
        </w:rPr>
        <w:t xml:space="preserve">flowchart LR</w:t>
      </w:r>
      <w:r>
        <w:br/>
      </w:r>
      <w:r>
        <w:rPr>
          <w:rStyle w:val="VerbatimChar"/>
        </w:rPr>
        <w:t xml:space="preserve">    A[Single-asset diligence&lt;br/&gt;$40k-$150k] --&gt; B[Failure-mode plus redesign sprint&lt;br/&gt;$100k-$300k]</w:t>
      </w:r>
      <w:r>
        <w:br/>
      </w:r>
      <w:r>
        <w:rPr>
          <w:rStyle w:val="VerbatimChar"/>
        </w:rPr>
        <w:t xml:space="preserve">    B --&gt; C[Portfolio screen&lt;br/&gt;10 assets | $200k-$600k]</w:t>
      </w:r>
      <w:r>
        <w:br/>
      </w:r>
      <w:r>
        <w:rPr>
          <w:rStyle w:val="VerbatimChar"/>
        </w:rPr>
        <w:t xml:space="preserve">    C --&gt; D[Annual platform collaboration&lt;br/&gt;$0.75M-$3M+]</w:t>
      </w:r>
      <w:r>
        <w:br/>
      </w:r>
      <w:r>
        <w:rPr>
          <w:rStyle w:val="VerbatimChar"/>
        </w:rPr>
        <w:t xml:space="preserve">    D --&gt; E[Optional milestones / royalties&lt;br/&gt;selected programs only]</w:t>
      </w:r>
    </w:p>
    <w:p>
      <w:pPr>
        <w:pStyle w:val="FirstParagraph"/>
      </w:pPr>
      <w:r>
        <w:t xml:space="preserve">This ladder is consistent with ReneuBio’s internal plan to commercialize AlphaForge through</w:t>
      </w:r>
      <w:r>
        <w:t xml:space="preserve"> </w:t>
      </w:r>
      <w:r>
        <w:rPr>
          <w:b/>
          <w:bCs/>
        </w:rPr>
        <w:t xml:space="preserve">paid projects and platform collaborations first</w:t>
      </w:r>
      <w:r>
        <w:t xml:space="preserve">, with</w:t>
      </w:r>
      <w:r>
        <w:t xml:space="preserve"> </w:t>
      </w:r>
      <w:r>
        <w:rPr>
          <w:b/>
          <w:bCs/>
        </w:rPr>
        <w:t xml:space="preserve">selective upside in internal or partnered assets</w:t>
      </w:r>
      <w:r>
        <w:t xml:space="preserve"> </w:t>
      </w:r>
      <w:r>
        <w:t xml:space="preserve">only where the platform contributes unusually strong value. fileciteturn0file2</w:t>
      </w:r>
    </w:p>
    <w:p>
      <w:pPr>
        <w:pStyle w:val="BodyText"/>
      </w:pPr>
      <w:r>
        <w:t xml:space="preserve">The recommended external price points are: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AlphaForge offering</w:t>
            </w:r>
          </w:p>
        </w:tc>
        <w:tc>
          <w:tcPr/>
          <w:p>
            <w:pPr>
              <w:pStyle w:val="Compact"/>
            </w:pPr>
            <w:r>
              <w:t xml:space="preserve">Scope</w:t>
            </w:r>
          </w:p>
        </w:tc>
        <w:tc>
          <w:tcPr/>
          <w:p>
            <w:pPr>
              <w:pStyle w:val="Compact"/>
              <w:jc w:val="right"/>
            </w:pPr>
            <w:r>
              <w:t xml:space="preserve">Recommended pricing</w:t>
            </w:r>
          </w:p>
        </w:tc>
        <w:tc>
          <w:tcPr/>
          <w:p>
            <w:pPr>
              <w:pStyle w:val="Compact"/>
            </w:pPr>
            <w:r>
              <w:t xml:space="preserve">Positioning</w:t>
            </w:r>
          </w:p>
        </w:tc>
      </w:tr>
      <w:tr>
        <w:tc>
          <w:tcPr/>
          <w:p>
            <w:pPr>
              <w:pStyle w:val="Compact"/>
            </w:pPr>
            <w:r>
              <w:rPr>
                <w:b/>
                <w:bCs/>
              </w:rPr>
              <w:t xml:space="preserve">Single-asset diligence</w:t>
            </w:r>
          </w:p>
        </w:tc>
        <w:tc>
          <w:tcPr/>
          <w:p>
            <w:pPr>
              <w:pStyle w:val="Compact"/>
            </w:pPr>
            <w:r>
              <w:t xml:space="preserve">One asset; risk readout, dominant failure mode, decision memo</w:t>
            </w:r>
          </w:p>
        </w:tc>
        <w:tc>
          <w:tcPr/>
          <w:p>
            <w:pPr>
              <w:pStyle w:val="Compact"/>
              <w:jc w:val="right"/>
            </w:pPr>
            <w:r>
              <w:rPr>
                <w:b/>
                <w:bCs/>
              </w:rPr>
              <w:t xml:space="preserve">$40k–$75k biotech</w:t>
            </w:r>
            <w:r>
              <w:t xml:space="preserve">;</w:t>
            </w:r>
            <w:r>
              <w:t xml:space="preserve"> </w:t>
            </w:r>
            <w:r>
              <w:rPr>
                <w:b/>
                <w:bCs/>
              </w:rPr>
              <w:t xml:space="preserve">$75k–$150k pharma</w:t>
            </w:r>
          </w:p>
        </w:tc>
        <w:tc>
          <w:tcPr/>
          <w:p>
            <w:pPr>
              <w:pStyle w:val="Compact"/>
            </w:pPr>
            <w:r>
              <w:t xml:space="preserve">Premium to data-only tools; discount to full multidisciplinary consulting DD</w:t>
            </w:r>
          </w:p>
        </w:tc>
      </w:tr>
      <w:tr>
        <w:tc>
          <w:tcPr/>
          <w:p>
            <w:pPr>
              <w:pStyle w:val="Compact"/>
            </w:pPr>
            <w:r>
              <w:rPr>
                <w:b/>
                <w:bCs/>
              </w:rPr>
              <w:t xml:space="preserve">Failure-mode analysis + redesign guidance</w:t>
            </w:r>
          </w:p>
        </w:tc>
        <w:tc>
          <w:tcPr/>
          <w:p>
            <w:pPr>
              <w:pStyle w:val="Compact"/>
            </w:pPr>
            <w:r>
              <w:t xml:space="preserve">One asset plus chemistry-informed redesign directions / analog hypotheses</w:t>
            </w:r>
          </w:p>
        </w:tc>
        <w:tc>
          <w:tcPr/>
          <w:p>
            <w:pPr>
              <w:pStyle w:val="Compact"/>
              <w:jc w:val="right"/>
            </w:pPr>
            <w:r>
              <w:rPr>
                <w:b/>
                <w:bCs/>
              </w:rPr>
              <w:t xml:space="preserve">$100k–$175k biotech</w:t>
            </w:r>
            <w:r>
              <w:t xml:space="preserve">;</w:t>
            </w:r>
            <w:r>
              <w:t xml:space="preserve"> </w:t>
            </w:r>
            <w:r>
              <w:rPr>
                <w:b/>
                <w:bCs/>
              </w:rPr>
              <w:t xml:space="preserve">$150k–$300k pharma</w:t>
            </w:r>
          </w:p>
        </w:tc>
        <w:tc>
          <w:tcPr/>
          <w:p>
            <w:pPr>
              <w:pStyle w:val="Compact"/>
            </w:pPr>
            <w:r>
              <w:t xml:space="preserve">Similar to specialist consulting work, but faster and more scalable</w:t>
            </w:r>
          </w:p>
        </w:tc>
      </w:tr>
      <w:tr>
        <w:tc>
          <w:tcPr/>
          <w:p>
            <w:pPr>
              <w:pStyle w:val="Compact"/>
            </w:pPr>
            <w:r>
              <w:rPr>
                <w:b/>
                <w:bCs/>
              </w:rPr>
              <w:t xml:space="preserve">Portfolio screen (10 assets)</w:t>
            </w:r>
          </w:p>
        </w:tc>
        <w:tc>
          <w:tcPr/>
          <w:p>
            <w:pPr>
              <w:pStyle w:val="Compact"/>
            </w:pPr>
            <w:r>
              <w:t xml:space="preserve">Portfolio triage with rankings, outliers, “stop / advance / redesign” buckets</w:t>
            </w:r>
          </w:p>
        </w:tc>
        <w:tc>
          <w:tcPr/>
          <w:p>
            <w:pPr>
              <w:pStyle w:val="Compact"/>
              <w:jc w:val="right"/>
            </w:pPr>
            <w:r>
              <w:rPr>
                <w:b/>
                <w:bCs/>
              </w:rPr>
              <w:t xml:space="preserve">$200k–$400k biotech</w:t>
            </w:r>
            <w:r>
              <w:t xml:space="preserve">;</w:t>
            </w:r>
            <w:r>
              <w:t xml:space="preserve"> </w:t>
            </w:r>
            <w:r>
              <w:rPr>
                <w:b/>
                <w:bCs/>
              </w:rPr>
              <w:t xml:space="preserve">$300k–$600k pharma</w:t>
            </w:r>
          </w:p>
        </w:tc>
        <w:tc>
          <w:tcPr/>
          <w:p>
            <w:pPr>
              <w:pStyle w:val="Compact"/>
            </w:pPr>
            <w:r>
              <w:t xml:space="preserve">25%–40% discount to buying 10 standalone reports</w:t>
            </w:r>
          </w:p>
        </w:tc>
      </w:tr>
      <w:tr>
        <w:tc>
          <w:tcPr/>
          <w:p>
            <w:pPr>
              <w:pStyle w:val="Compact"/>
            </w:pPr>
            <w:r>
              <w:rPr>
                <w:b/>
                <w:bCs/>
              </w:rPr>
              <w:t xml:space="preserve">Annual collaboration / license</w:t>
            </w:r>
          </w:p>
        </w:tc>
        <w:tc>
          <w:tcPr/>
          <w:p>
            <w:pPr>
              <w:pStyle w:val="Compact"/>
            </w:pPr>
            <w:r>
              <w:t xml:space="preserve">Continuous access, repeated analyses, joint governance, optional API/private deployment</w:t>
            </w:r>
          </w:p>
        </w:tc>
        <w:tc>
          <w:tcPr/>
          <w:p>
            <w:pPr>
              <w:pStyle w:val="Compact"/>
              <w:jc w:val="right"/>
            </w:pPr>
            <w:r>
              <w:rPr>
                <w:b/>
                <w:bCs/>
              </w:rPr>
              <w:t xml:space="preserve">$0.75M–$1.5M biotech</w:t>
            </w:r>
            <w:r>
              <w:t xml:space="preserve">;</w:t>
            </w:r>
            <w:r>
              <w:t xml:space="preserve"> </w:t>
            </w:r>
            <w:r>
              <w:rPr>
                <w:b/>
                <w:bCs/>
              </w:rPr>
              <w:t xml:space="preserve">$1.5M–$3.0M pharma</w:t>
            </w:r>
            <w:r>
              <w:t xml:space="preserve">;</w:t>
            </w:r>
            <w:r>
              <w:t xml:space="preserve"> </w:t>
            </w:r>
            <w:r>
              <w:rPr>
                <w:b/>
                <w:bCs/>
              </w:rPr>
              <w:t xml:space="preserve">$3M–$7M+ enterprise</w:t>
            </w:r>
          </w:p>
        </w:tc>
        <w:tc>
          <w:tcPr/>
          <w:p>
            <w:pPr>
              <w:pStyle w:val="Compact"/>
            </w:pPr>
            <w:r>
              <w:t xml:space="preserve">Well above subscriptions, well below mega AI discovery alliances</w:t>
            </w:r>
          </w:p>
        </w:tc>
      </w:tr>
    </w:tbl>
    <w:p>
      <w:pPr>
        <w:pStyle w:val="BodyText"/>
      </w:pPr>
      <w:r>
        <w:t xml:space="preserve">The positioning logic is straightforward. For</w:t>
      </w:r>
      <w:r>
        <w:t xml:space="preserve"> </w:t>
      </w:r>
      <w:r>
        <w:rPr>
          <w:b/>
          <w:bCs/>
        </w:rPr>
        <w:t xml:space="preserve">single-asset work</w:t>
      </w:r>
      <w:r>
        <w:t xml:space="preserve">, AlphaForge should be priced in the upper half of specialist scientific diligence because the buyer is not paying for data access alone—they are paying for a decision. For</w:t>
      </w:r>
      <w:r>
        <w:t xml:space="preserve"> </w:t>
      </w:r>
      <w:r>
        <w:rPr>
          <w:b/>
          <w:bCs/>
        </w:rPr>
        <w:t xml:space="preserve">redesign</w:t>
      </w:r>
      <w:r>
        <w:t xml:space="preserve">, AlphaForge earns a premium because it creates a next step rather than just a stop sign. For</w:t>
      </w:r>
      <w:r>
        <w:t xml:space="preserve"> </w:t>
      </w:r>
      <w:r>
        <w:rPr>
          <w:b/>
          <w:bCs/>
        </w:rPr>
        <w:t xml:space="preserve">annual collaborations</w:t>
      </w:r>
      <w:r>
        <w:t xml:space="preserve">, AlphaForge should remain</w:t>
      </w:r>
      <w:r>
        <w:t xml:space="preserve"> </w:t>
      </w:r>
      <w:r>
        <w:rPr>
          <w:b/>
          <w:bCs/>
        </w:rPr>
        <w:t xml:space="preserve">materially cheaper than Owkin/Iambic/AZ-CSPC class alliances</w:t>
      </w:r>
      <w:r>
        <w:t xml:space="preserve">, because those deals include broader discovery rights and program economics. AlphaForge can add those economics later, selectively, rather than making them the default commercial ask.</w:t>
      </w:r>
      <w:r>
        <w:t xml:space="preserve"> </w:t>
      </w:r>
      <w:hyperlink r:id="rId24">
        <w:r>
          <w:rPr>
            <w:rStyle w:val="Hyperlink"/>
          </w:rPr>
          <w:t xml:space="preserve">[22]</w:t>
        </w:r>
      </w:hyperlink>
    </w:p>
    <w:p>
      <w:pPr>
        <w:pStyle w:val="BodyText"/>
      </w:pPr>
      <w:r>
        <w:t xml:space="preserve">The most important negotiation levers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Lever</w:t>
            </w:r>
          </w:p>
        </w:tc>
        <w:tc>
          <w:tcPr/>
          <w:p>
            <w:pPr>
              <w:pStyle w:val="Compact"/>
            </w:pPr>
            <w:r>
              <w:t xml:space="preserve">Recommended use</w:t>
            </w:r>
          </w:p>
        </w:tc>
      </w:tr>
      <w:tr>
        <w:tc>
          <w:tcPr/>
          <w:p>
            <w:pPr>
              <w:pStyle w:val="Compact"/>
            </w:pPr>
            <w:r>
              <w:rPr>
                <w:b/>
                <w:bCs/>
              </w:rPr>
              <w:t xml:space="preserve">Pilot credit</w:t>
            </w:r>
          </w:p>
        </w:tc>
        <w:tc>
          <w:tcPr/>
          <w:p>
            <w:pPr>
              <w:pStyle w:val="Compact"/>
            </w:pPr>
            <w:r>
              <w:t xml:space="preserve">Credit</w:t>
            </w:r>
            <w:r>
              <w:t xml:space="preserve"> </w:t>
            </w:r>
            <w:r>
              <w:rPr>
                <w:b/>
                <w:bCs/>
              </w:rPr>
              <w:t xml:space="preserve">50%–100%</w:t>
            </w:r>
            <w:r>
              <w:t xml:space="preserve"> </w:t>
            </w:r>
            <w:r>
              <w:t xml:space="preserve">of the pilot fee toward an annual license if signed within 90 days</w:t>
            </w:r>
          </w:p>
        </w:tc>
      </w:tr>
      <w:tr>
        <w:tc>
          <w:tcPr/>
          <w:p>
            <w:pPr>
              <w:pStyle w:val="Compact"/>
            </w:pPr>
            <w:r>
              <w:rPr>
                <w:b/>
                <w:bCs/>
              </w:rPr>
              <w:t xml:space="preserve">Exclusivity premium</w:t>
            </w:r>
          </w:p>
        </w:tc>
        <w:tc>
          <w:tcPr/>
          <w:p>
            <w:pPr>
              <w:pStyle w:val="Compact"/>
            </w:pPr>
            <w:r>
              <w:t xml:space="preserve">Charge</w:t>
            </w:r>
            <w:r>
              <w:t xml:space="preserve"> </w:t>
            </w:r>
            <w:r>
              <w:rPr>
                <w:b/>
                <w:bCs/>
              </w:rPr>
              <w:t xml:space="preserve">25%–100% extra</w:t>
            </w:r>
            <w:r>
              <w:t xml:space="preserve"> </w:t>
            </w:r>
            <w:r>
              <w:t xml:space="preserve">for therapeutic-area, target-class, or geography exclusivity</w:t>
            </w:r>
          </w:p>
        </w:tc>
      </w:tr>
      <w:tr>
        <w:tc>
          <w:tcPr/>
          <w:p>
            <w:pPr>
              <w:pStyle w:val="Compact"/>
            </w:pPr>
            <w:r>
              <w:rPr>
                <w:b/>
                <w:bCs/>
              </w:rPr>
              <w:t xml:space="preserve">Private deployment / API / on-prem</w:t>
            </w:r>
          </w:p>
        </w:tc>
        <w:tc>
          <w:tcPr/>
          <w:p>
            <w:pPr>
              <w:pStyle w:val="Compact"/>
            </w:pPr>
            <w:r>
              <w:t xml:space="preserve">Add</w:t>
            </w:r>
            <w:r>
              <w:t xml:space="preserve"> </w:t>
            </w:r>
            <w:r>
              <w:rPr>
                <w:b/>
                <w:bCs/>
              </w:rPr>
              <w:t xml:space="preserve">20%–40%</w:t>
            </w:r>
            <w:r>
              <w:t xml:space="preserve"> </w:t>
            </w:r>
            <w:r>
              <w:t xml:space="preserve">for security, integration, and infrastructure burden</w:t>
            </w:r>
          </w:p>
        </w:tc>
      </w:tr>
      <w:tr>
        <w:tc>
          <w:tcPr/>
          <w:p>
            <w:pPr>
              <w:pStyle w:val="Compact"/>
            </w:pPr>
            <w:r>
              <w:rPr>
                <w:b/>
                <w:bCs/>
              </w:rPr>
              <w:t xml:space="preserve">Turnaround SLA</w:t>
            </w:r>
          </w:p>
        </w:tc>
        <w:tc>
          <w:tcPr/>
          <w:p>
            <w:pPr>
              <w:pStyle w:val="Compact"/>
            </w:pPr>
            <w:r>
              <w:t xml:space="preserve">Add expedited fees for BD and transaction timelines</w:t>
            </w:r>
          </w:p>
        </w:tc>
      </w:tr>
      <w:tr>
        <w:tc>
          <w:tcPr/>
          <w:p>
            <w:pPr>
              <w:pStyle w:val="Compact"/>
            </w:pPr>
            <w:r>
              <w:rPr>
                <w:b/>
                <w:bCs/>
              </w:rPr>
              <w:t xml:space="preserve">Custom validation study</w:t>
            </w:r>
          </w:p>
        </w:tc>
        <w:tc>
          <w:tcPr/>
          <w:p>
            <w:pPr>
              <w:pStyle w:val="Compact"/>
            </w:pPr>
            <w:r>
              <w:t xml:space="preserve">Quote separately for retrospective benchmarking on the client’s own historical portfolio</w:t>
            </w:r>
          </w:p>
        </w:tc>
      </w:tr>
      <w:tr>
        <w:tc>
          <w:tcPr/>
          <w:p>
            <w:pPr>
              <w:pStyle w:val="Compact"/>
            </w:pPr>
            <w:r>
              <w:rPr>
                <w:b/>
                <w:bCs/>
              </w:rPr>
              <w:t xml:space="preserve">Asset economics</w:t>
            </w:r>
          </w:p>
        </w:tc>
        <w:tc>
          <w:tcPr/>
          <w:p>
            <w:pPr>
              <w:pStyle w:val="Compact"/>
            </w:pPr>
            <w:r>
              <w:t xml:space="preserve">For select programs, reduce cash price in exchange for milestones or royalties only after AlphaForge is already trusted</w:t>
            </w:r>
          </w:p>
        </w:tc>
      </w:tr>
    </w:tbl>
    <w:p>
      <w:pPr>
        <w:pStyle w:val="BodyText"/>
      </w:pPr>
      <w:r>
        <w:t xml:space="preserve">One strategic caution: do</w:t>
      </w:r>
      <w:r>
        <w:t xml:space="preserve"> </w:t>
      </w:r>
      <w:r>
        <w:rPr>
          <w:b/>
          <w:bCs/>
        </w:rPr>
        <w:t xml:space="preserve">not</w:t>
      </w:r>
      <w:r>
        <w:t xml:space="preserve"> </w:t>
      </w:r>
      <w:r>
        <w:t xml:space="preserve">lead with a large annual license before AlphaForge has at least a few strong external proofs. Early deals should be</w:t>
      </w:r>
      <w:r>
        <w:t xml:space="preserve"> </w:t>
      </w:r>
      <w:r>
        <w:rPr>
          <w:b/>
          <w:bCs/>
        </w:rPr>
        <w:t xml:space="preserve">paid pilots or portfolio screens</w:t>
      </w:r>
      <w:r>
        <w:t xml:space="preserve">, ideally at the lower end of the recommended ranges, with language that converts cleanly into annual collaboration pricing after proof of value. That sequencing also matches the current ReneuBio deck narrative, which emphasizes collaboration-led validation and selective upside rather than a pure SaaS motion. fileciteturn0file1 fileciteturn0file2</w:t>
      </w:r>
    </w:p>
    <w:bookmarkEnd w:id="41"/>
    <w:bookmarkStart w:id="42" w:name="slide-ready-takeaways"/>
    <w:p>
      <w:pPr>
        <w:pStyle w:val="Heading2"/>
      </w:pPr>
      <w:r>
        <w:t xml:space="preserve">Slide-ready takeaways</w:t>
      </w:r>
    </w:p>
    <w:p>
      <w:pPr>
        <w:pStyle w:val="FirstParagraph"/>
      </w:pPr>
      <w:r>
        <w:t xml:space="preserve">The investor-deck version of this analysis can be distilled to a few lines.</w:t>
      </w:r>
    </w:p>
    <w:p>
      <w:pPr>
        <w:pStyle w:val="BodyText"/>
      </w:pPr>
      <w:r>
        <w:t xml:space="preserve">AlphaForge is selling into a</w:t>
      </w:r>
      <w:r>
        <w:t xml:space="preserve"> </w:t>
      </w:r>
      <w:r>
        <w:rPr>
          <w:b/>
          <w:bCs/>
        </w:rPr>
        <w:t xml:space="preserve">large, tangible budget line</w:t>
      </w:r>
      <w:r>
        <w:t xml:space="preserve">: the global pipeline contained almost</w:t>
      </w:r>
      <w:r>
        <w:t xml:space="preserve"> </w:t>
      </w:r>
      <w:r>
        <w:rPr>
          <w:b/>
          <w:bCs/>
        </w:rPr>
        <w:t xml:space="preserve">24,000 assets</w:t>
      </w:r>
      <w:r>
        <w:t xml:space="preserve"> </w:t>
      </w:r>
      <w:r>
        <w:t xml:space="preserve">in 2025, and small molecules still represent roughly</w:t>
      </w:r>
      <w:r>
        <w:t xml:space="preserve"> </w:t>
      </w:r>
      <w:r>
        <w:rPr>
          <w:b/>
          <w:bCs/>
        </w:rPr>
        <w:t xml:space="preserve">half</w:t>
      </w:r>
      <w:r>
        <w:t xml:space="preserve"> </w:t>
      </w:r>
      <w:r>
        <w:t xml:space="preserve">of that opportunity.</w:t>
      </w:r>
      <w:r>
        <w:t xml:space="preserve"> </w:t>
      </w:r>
      <w:hyperlink r:id="rId26">
        <w:r>
          <w:rPr>
            <w:rStyle w:val="Hyperlink"/>
          </w:rPr>
          <w:t xml:space="preserve">[5]</w:t>
        </w:r>
      </w:hyperlink>
    </w:p>
    <w:p>
      <w:pPr>
        <w:pStyle w:val="BodyText"/>
      </w:pPr>
      <w:r>
        <w:t xml:space="preserve">The buyer urgency is real because</w:t>
      </w:r>
      <w:r>
        <w:t xml:space="preserve"> </w:t>
      </w:r>
      <w:r>
        <w:rPr>
          <w:b/>
          <w:bCs/>
        </w:rPr>
        <w:t xml:space="preserve">late failure is expensive</w:t>
      </w:r>
      <w:r>
        <w:t xml:space="preserve">: stopping one doomed small-molecule program can avoid roughly</w:t>
      </w:r>
      <w:r>
        <w:t xml:space="preserve"> </w:t>
      </w:r>
      <w:r>
        <w:rPr>
          <w:b/>
          <w:bCs/>
        </w:rPr>
        <w:t xml:space="preserve">$30M–$90M</w:t>
      </w:r>
      <w:r>
        <w:t xml:space="preserve"> </w:t>
      </w:r>
      <w:r>
        <w:t xml:space="preserve">of future spend depending on stage.</w:t>
      </w:r>
      <w:r>
        <w:t xml:space="preserve"> </w:t>
      </w:r>
      <w:hyperlink r:id="rId39">
        <w:r>
          <w:rPr>
            <w:rStyle w:val="Hyperlink"/>
          </w:rPr>
          <w:t xml:space="preserve">[20]</w:t>
        </w:r>
      </w:hyperlink>
    </w:p>
    <w:p>
      <w:pPr>
        <w:pStyle w:val="BodyText"/>
      </w:pPr>
      <w:r>
        <w:t xml:space="preserve">Competitors cluster into</w:t>
      </w:r>
      <w:r>
        <w:t xml:space="preserve"> </w:t>
      </w:r>
      <w:r>
        <w:rPr>
          <w:b/>
          <w:bCs/>
        </w:rPr>
        <w:t xml:space="preserve">data tools</w:t>
      </w:r>
      <w:r>
        <w:t xml:space="preserve">,</w:t>
      </w:r>
      <w:r>
        <w:t xml:space="preserve"> </w:t>
      </w:r>
      <w:r>
        <w:rPr>
          <w:b/>
          <w:bCs/>
        </w:rPr>
        <w:t xml:space="preserve">consulting diligence</w:t>
      </w:r>
      <w:r>
        <w:t xml:space="preserve">, and</w:t>
      </w:r>
      <w:r>
        <w:t xml:space="preserve"> </w:t>
      </w:r>
      <w:r>
        <w:rPr>
          <w:b/>
          <w:bCs/>
        </w:rPr>
        <w:t xml:space="preserve">AI discovery alliances</w:t>
      </w:r>
      <w:r>
        <w:t xml:space="preserve">. Public benchmarks imply</w:t>
      </w:r>
      <w:r>
        <w:t xml:space="preserve"> </w:t>
      </w:r>
      <w:r>
        <w:rPr>
          <w:b/>
          <w:bCs/>
        </w:rPr>
        <w:t xml:space="preserve">tens of thousands</w:t>
      </w:r>
      <w:r>
        <w:t xml:space="preserve"> </w:t>
      </w:r>
      <w:r>
        <w:t xml:space="preserve">for data access,</w:t>
      </w:r>
      <w:r>
        <w:t xml:space="preserve"> </w:t>
      </w:r>
      <w:r>
        <w:rPr>
          <w:b/>
          <w:bCs/>
        </w:rPr>
        <w:t xml:space="preserve">low- to mid-six figures</w:t>
      </w:r>
      <w:r>
        <w:t xml:space="preserve"> </w:t>
      </w:r>
      <w:r>
        <w:t xml:space="preserve">for focused diligence, and</w:t>
      </w:r>
      <w:r>
        <w:t xml:space="preserve"> </w:t>
      </w:r>
      <w:r>
        <w:rPr>
          <w:b/>
          <w:bCs/>
        </w:rPr>
        <w:t xml:space="preserve">eight-figure to nine-figure upfronts</w:t>
      </w:r>
      <w:r>
        <w:t xml:space="preserve"> </w:t>
      </w:r>
      <w:r>
        <w:t xml:space="preserve">for full AI discovery partnerships. AlphaForge should price</w:t>
      </w:r>
      <w:r>
        <w:t xml:space="preserve"> </w:t>
      </w:r>
      <w:r>
        <w:rPr>
          <w:b/>
          <w:bCs/>
        </w:rPr>
        <w:t xml:space="preserve">between consulting and platform AI</w:t>
      </w:r>
      <w:r>
        <w:t xml:space="preserve">, not as a cheap subscription and not as a mega-deal too early.</w:t>
      </w:r>
      <w:r>
        <w:t xml:space="preserve"> </w:t>
      </w:r>
      <w:hyperlink r:id="rId23">
        <w:r>
          <w:rPr>
            <w:rStyle w:val="Hyperlink"/>
          </w:rPr>
          <w:t xml:space="preserve">[23]</w:t>
        </w:r>
      </w:hyperlink>
    </w:p>
    <w:p>
      <w:pPr>
        <w:pStyle w:val="BodyText"/>
      </w:pPr>
      <w:r>
        <w:t xml:space="preserve">The best first wedge is</w:t>
      </w:r>
      <w:r>
        <w:t xml:space="preserve"> </w:t>
      </w:r>
      <w:r>
        <w:rPr>
          <w:b/>
          <w:bCs/>
        </w:rPr>
        <w:t xml:space="preserve">Phase II go/no-go and preclinical/DC prioritization</w:t>
      </w:r>
      <w:r>
        <w:t xml:space="preserve">. Phase III has the largest raw dollars at risk, but Phase II is the more practical place to change decisions and win recurring use.</w:t>
      </w:r>
      <w:r>
        <w:t xml:space="preserve"> </w:t>
      </w:r>
      <w:hyperlink r:id="rId22">
        <w:r>
          <w:rPr>
            <w:rStyle w:val="Hyperlink"/>
          </w:rPr>
          <w:t xml:space="preserve">[21]</w:t>
        </w:r>
      </w:hyperlink>
    </w:p>
    <w:p>
      <w:pPr>
        <w:pStyle w:val="BodyText"/>
      </w:pPr>
      <w:r>
        <w:t xml:space="preserve">Recommended commercial pricing is:</w:t>
      </w:r>
    </w:p>
    <w:p>
      <w:pPr>
        <w:pStyle w:val="Compact"/>
        <w:numPr>
          <w:ilvl w:val="0"/>
          <w:numId w:val="1001"/>
        </w:numPr>
      </w:pPr>
      <w:r>
        <w:rPr>
          <w:b/>
          <w:bCs/>
        </w:rPr>
        <w:t xml:space="preserve">$75k–$150k</w:t>
      </w:r>
      <w:r>
        <w:t xml:space="preserve"> </w:t>
      </w:r>
      <w:r>
        <w:t xml:space="preserve">for a pharma single-asset diligence engagement,</w:t>
      </w:r>
    </w:p>
    <w:p>
      <w:pPr>
        <w:pStyle w:val="Compact"/>
        <w:numPr>
          <w:ilvl w:val="0"/>
          <w:numId w:val="1001"/>
        </w:numPr>
      </w:pPr>
      <w:r>
        <w:rPr>
          <w:b/>
          <w:bCs/>
        </w:rPr>
        <w:t xml:space="preserve">$150k–$300k</w:t>
      </w:r>
      <w:r>
        <w:t xml:space="preserve"> </w:t>
      </w:r>
      <w:r>
        <w:t xml:space="preserve">for diligence plus failure-mode/redesign work,</w:t>
      </w:r>
    </w:p>
    <w:p>
      <w:pPr>
        <w:pStyle w:val="Compact"/>
        <w:numPr>
          <w:ilvl w:val="0"/>
          <w:numId w:val="1001"/>
        </w:numPr>
      </w:pPr>
      <w:r>
        <w:rPr>
          <w:b/>
          <w:bCs/>
        </w:rPr>
        <w:t xml:space="preserve">$300k–$600k</w:t>
      </w:r>
      <w:r>
        <w:t xml:space="preserve"> </w:t>
      </w:r>
      <w:r>
        <w:t xml:space="preserve">for a 10-asset portfolio screen,</w:t>
      </w:r>
    </w:p>
    <w:p>
      <w:pPr>
        <w:pStyle w:val="Compact"/>
        <w:numPr>
          <w:ilvl w:val="0"/>
          <w:numId w:val="1001"/>
        </w:numPr>
      </w:pPr>
      <w:r>
        <w:rPr>
          <w:b/>
          <w:bCs/>
        </w:rPr>
        <w:t xml:space="preserve">$1.5M–$3.0M</w:t>
      </w:r>
      <w:r>
        <w:t xml:space="preserve"> </w:t>
      </w:r>
      <w:r>
        <w:t xml:space="preserve">for a departmental annual pharma collaboration,</w:t>
      </w:r>
      <w:r>
        <w:t xml:space="preserve"> </w:t>
      </w:r>
      <w:r>
        <w:t xml:space="preserve">with higher enterprise tiers and optional milestones only after trust is established. These are model-based recommendations grounded in public benchmarks and expected client value, not observed market-clearing prices for AlphaForge specifically.</w:t>
      </w:r>
      <w:r>
        <w:t xml:space="preserve"> </w:t>
      </w:r>
      <w:hyperlink r:id="rId24">
        <w:r>
          <w:rPr>
            <w:rStyle w:val="Hyperlink"/>
          </w:rPr>
          <w:t xml:space="preserve">[24]</w:t>
        </w:r>
      </w:hyperlink>
    </w:p>
    <w:bookmarkEnd w:id="42"/>
    <w:bookmarkStart w:id="44" w:name="open-questions-and-limitations"/>
    <w:p>
      <w:pPr>
        <w:pStyle w:val="Heading2"/>
      </w:pPr>
      <w:r>
        <w:t xml:space="preserve">Open questions and limitations</w:t>
      </w:r>
    </w:p>
    <w:p>
      <w:pPr>
        <w:pStyle w:val="FirstParagraph"/>
      </w:pPr>
      <w:r>
        <w:t xml:space="preserve">Public price transparency is poor. Most enterprise software, consulting diligence, and AI platform contracts in pharma are privately negotiated, so several pricing comparisons necessarily rely on</w:t>
      </w:r>
      <w:r>
        <w:t xml:space="preserve"> </w:t>
      </w:r>
      <w:r>
        <w:rPr>
          <w:b/>
          <w:bCs/>
        </w:rPr>
        <w:t xml:space="preserve">public deal terms</w:t>
      </w:r>
      <w:r>
        <w:t xml:space="preserve">,</w:t>
      </w:r>
      <w:r>
        <w:t xml:space="preserve"> </w:t>
      </w:r>
      <w:r>
        <w:rPr>
          <w:b/>
          <w:bCs/>
        </w:rPr>
        <w:t xml:space="preserve">government procurement traces</w:t>
      </w:r>
      <w:r>
        <w:t xml:space="preserve">, and</w:t>
      </w:r>
      <w:r>
        <w:t xml:space="preserve"> </w:t>
      </w:r>
      <w:r>
        <w:rPr>
          <w:b/>
          <w:bCs/>
        </w:rPr>
        <w:t xml:space="preserve">consulting cost proxies</w:t>
      </w:r>
      <w:r>
        <w:t xml:space="preserve"> </w:t>
      </w:r>
      <w:r>
        <w:t xml:space="preserve">rather than clean published rate cards.</w:t>
      </w:r>
      <w:r>
        <w:t xml:space="preserve"> </w:t>
      </w:r>
      <w:hyperlink r:id="rId23">
        <w:r>
          <w:rPr>
            <w:rStyle w:val="Hyperlink"/>
          </w:rPr>
          <w:t xml:space="preserve">[25]</w:t>
        </w:r>
      </w:hyperlink>
    </w:p>
    <w:p>
      <w:pPr>
        <w:pStyle w:val="BodyText"/>
      </w:pPr>
      <w:r>
        <w:t xml:space="preserve">The stage-savings model is a</w:t>
      </w:r>
      <w:r>
        <w:t xml:space="preserve"> </w:t>
      </w:r>
      <w:r>
        <w:rPr>
          <w:b/>
          <w:bCs/>
        </w:rPr>
        <w:t xml:space="preserve">literature-based financial model</w:t>
      </w:r>
      <w:r>
        <w:t xml:space="preserve">, not an AlphaForge-specific outcomes study. Realized savings will depend on sponsor behavior, internal politics, timing of analysis, precision of stop calls, and whether AlphaForge changes a decision that otherwise would have gone the other way.</w:t>
      </w:r>
      <w:r>
        <w:t xml:space="preserve"> </w:t>
      </w:r>
      <w:hyperlink r:id="rId39">
        <w:r>
          <w:rPr>
            <w:rStyle w:val="Hyperlink"/>
          </w:rPr>
          <w:t xml:space="preserve">[20]</w:t>
        </w:r>
      </w:hyperlink>
    </w:p>
    <w:p>
      <w:pPr>
        <w:pStyle w:val="BodyText"/>
      </w:pPr>
      <w:r>
        <w:t xml:space="preserve">The small-molecule market-size estimate uses a</w:t>
      </w:r>
      <w:r>
        <w:t xml:space="preserve"> </w:t>
      </w:r>
      <w:r>
        <w:rPr>
          <w:b/>
          <w:bCs/>
        </w:rPr>
        <w:t xml:space="preserve">50%–54% modality-share range</w:t>
      </w:r>
      <w:r>
        <w:t xml:space="preserve"> </w:t>
      </w:r>
      <w:r>
        <w:t xml:space="preserve">because public sources differ on where small molecules currently sit relative to biologics across total pipeline versus clinical-only pipeline. The direction is clear—small molecules remain a very large market—but the exact denominator varies by source and definition.</w:t>
      </w:r>
      <w:r>
        <w:t xml:space="preserve"> </w:t>
      </w:r>
      <w:hyperlink r:id="rId43">
        <w:r>
          <w:rPr>
            <w:rStyle w:val="Hyperlink"/>
          </w:rPr>
          <w:t xml:space="preserve">[26]</w:t>
        </w:r>
      </w:hyperlink>
    </w:p>
    <w:p>
      <w:pPr>
        <w:pStyle w:val="BodyText"/>
      </w:pPr>
      <w:r>
        <w:t xml:space="preserve">Finally, ReneuBio’s strongest AlphaForge performance claims—such as</w:t>
      </w:r>
      <w:r>
        <w:t xml:space="preserve"> </w:t>
      </w:r>
      <w:r>
        <w:rPr>
          <w:b/>
          <w:bCs/>
        </w:rPr>
        <w:t xml:space="preserve">AUC 0.884 on 393 compounds</w:t>
      </w:r>
      <w:r>
        <w:t xml:space="preserve"> </w:t>
      </w:r>
      <w:r>
        <w:t xml:space="preserve">and the internal</w:t>
      </w:r>
      <w:r>
        <w:t xml:space="preserve"> </w:t>
      </w:r>
      <w:r>
        <w:rPr>
          <w:b/>
          <w:bCs/>
        </w:rPr>
        <w:t xml:space="preserve">RNB001 → RNB027</w:t>
      </w:r>
      <w:r>
        <w:t xml:space="preserve"> </w:t>
      </w:r>
      <w:r>
        <w:t xml:space="preserve">rescue case—currently come from ReneuBio materials. They are helpful for positioning and pricing confidence, but external buyer willingness to pay will strengthen materially once those results are reproduced in additional third-party settings. fileciteturn0file1</w:t>
      </w:r>
    </w:p>
    <w:bookmarkEnd w:id="44"/>
    <w:bookmarkEnd w:id="45"/>
    <w:bookmarkEnd w:id="46"/>
    <w:p>
      <w:r>
        <w:pict>
          <v:rect style="width:0;height:1.5pt" o:hralign="center" o:hrstd="t" o:hr="t"/>
        </w:pict>
      </w:r>
    </w:p>
    <w:bookmarkStart w:id="47" w:name="citations"/>
    <w:p>
      <w:pPr>
        <w:pStyle w:val="FirstParagraph"/>
      </w:pPr>
      <w:hyperlink r:id="rId21">
        <w:r>
          <w:rPr>
            <w:rStyle w:val="Hyperlink"/>
          </w:rPr>
          <w:t xml:space="preserve">[1]</w:t>
        </w:r>
      </w:hyperlink>
      <w:r>
        <w:t xml:space="preserve"> </w:t>
      </w:r>
      <w:r>
        <w:t xml:space="preserve">Citeline Pharma RD Review 2024 Pleasant Weather Ahead</w:t>
      </w:r>
    </w:p>
    <w:p>
      <w:pPr>
        <w:pStyle w:val="BodyText"/>
      </w:pPr>
      <w:hyperlink r:id="rId21">
        <w:r>
          <w:rPr>
            <w:rStyle w:val="Hyperlink"/>
          </w:rPr>
          <w:t xml:space="preserve">https://www.clinicalleader.com/doc/citeline-pharma-r-d-review-pleasant-weather-ahead-0001?utm_source=chatgpt.com</w:t>
        </w:r>
      </w:hyperlink>
    </w:p>
    <w:p>
      <w:pPr>
        <w:pStyle w:val="BodyText"/>
      </w:pPr>
      <w:hyperlink r:id="rId22">
        <w:r>
          <w:rPr>
            <w:rStyle w:val="Hyperlink"/>
          </w:rPr>
          <w:t xml:space="preserve">[2]</w:t>
        </w:r>
      </w:hyperlink>
      <w:r>
        <w:t xml:space="preserve"> </w:t>
      </w:r>
      <w:hyperlink r:id="rId22">
        <w:r>
          <w:rPr>
            <w:rStyle w:val="Hyperlink"/>
          </w:rPr>
          <w:t xml:space="preserve">[8]</w:t>
        </w:r>
      </w:hyperlink>
      <w:r>
        <w:t xml:space="preserve"> </w:t>
      </w:r>
      <w:hyperlink r:id="rId22">
        <w:r>
          <w:rPr>
            <w:rStyle w:val="Hyperlink"/>
          </w:rPr>
          <w:t xml:space="preserve">[21]</w:t>
        </w:r>
      </w:hyperlink>
      <w:r>
        <w:t xml:space="preserve"> </w:t>
      </w:r>
      <w:r>
        <w:t xml:space="preserve">https://go.bio.org/rs/490-EHZ-999/images/ClinicalDevelopmentSuccessRates2011_2020.pdf</w:t>
      </w:r>
    </w:p>
    <w:p>
      <w:pPr>
        <w:pStyle w:val="BodyText"/>
      </w:pPr>
      <w:hyperlink r:id="rId22">
        <w:r>
          <w:rPr>
            <w:rStyle w:val="Hyperlink"/>
          </w:rPr>
          <w:t xml:space="preserve">https://go.bio.org/rs/490-EHZ-999/images/ClinicalDevelopmentSuccessRates2011_2020.pdf?utm_source=chatgpt.com</w:t>
        </w:r>
      </w:hyperlink>
    </w:p>
    <w:p>
      <w:pPr>
        <w:pStyle w:val="BodyText"/>
      </w:pPr>
      <w:hyperlink r:id="rId23">
        <w:r>
          <w:rPr>
            <w:rStyle w:val="Hyperlink"/>
          </w:rPr>
          <w:t xml:space="preserve">[3]</w:t>
        </w:r>
      </w:hyperlink>
      <w:r>
        <w:t xml:space="preserve"> </w:t>
      </w:r>
      <w:hyperlink r:id="rId23">
        <w:r>
          <w:rPr>
            <w:rStyle w:val="Hyperlink"/>
          </w:rPr>
          <w:t xml:space="preserve">[13]</w:t>
        </w:r>
      </w:hyperlink>
      <w:r>
        <w:t xml:space="preserve"> </w:t>
      </w:r>
      <w:hyperlink r:id="rId23">
        <w:r>
          <w:rPr>
            <w:rStyle w:val="Hyperlink"/>
          </w:rPr>
          <w:t xml:space="preserve">[23]</w:t>
        </w:r>
      </w:hyperlink>
      <w:r>
        <w:t xml:space="preserve"> </w:t>
      </w:r>
      <w:hyperlink r:id="rId23">
        <w:r>
          <w:rPr>
            <w:rStyle w:val="Hyperlink"/>
          </w:rPr>
          <w:t xml:space="preserve">[25]</w:t>
        </w:r>
      </w:hyperlink>
      <w:r>
        <w:t xml:space="preserve"> </w:t>
      </w:r>
      <w:r>
        <w:t xml:space="preserve">Health and Human Services Award | 75N98026P00045 | TRIALTROVE SOFTWARE LICENSE RENEWAL FOR CANCER DATA SCIENCE RESEARCH</w:t>
      </w:r>
    </w:p>
    <w:p>
      <w:pPr>
        <w:pStyle w:val="BodyText"/>
      </w:pPr>
      <w:hyperlink r:id="rId23">
        <w:r>
          <w:rPr>
            <w:rStyle w:val="Hyperlink"/>
          </w:rPr>
          <w:t xml:space="preserve">https://www.federalcompass.com/award-contract-detail/75N98026P00045?utm_source=chatgpt.com</w:t>
        </w:r>
      </w:hyperlink>
    </w:p>
    <w:p>
      <w:pPr>
        <w:pStyle w:val="BodyText"/>
      </w:pPr>
      <w:hyperlink r:id="rId24">
        <w:r>
          <w:rPr>
            <w:rStyle w:val="Hyperlink"/>
          </w:rPr>
          <w:t xml:space="preserve">[4]</w:t>
        </w:r>
      </w:hyperlink>
      <w:r>
        <w:t xml:space="preserve"> </w:t>
      </w:r>
      <w:hyperlink r:id="rId24">
        <w:r>
          <w:rPr>
            <w:rStyle w:val="Hyperlink"/>
          </w:rPr>
          <w:t xml:space="preserve">[22]</w:t>
        </w:r>
      </w:hyperlink>
      <w:r>
        <w:t xml:space="preserve"> </w:t>
      </w:r>
      <w:hyperlink r:id="rId24">
        <w:r>
          <w:rPr>
            <w:rStyle w:val="Hyperlink"/>
          </w:rPr>
          <w:t xml:space="preserve">[24]</w:t>
        </w:r>
      </w:hyperlink>
      <w:r>
        <w:t xml:space="preserve"> </w:t>
      </w:r>
      <w:r>
        <w:t xml:space="preserve">Regulatory &amp; Manufacturing Consulting for Life Sciences</w:t>
      </w:r>
    </w:p>
    <w:p>
      <w:pPr>
        <w:pStyle w:val="BodyText"/>
      </w:pPr>
      <w:hyperlink r:id="rId24">
        <w:r>
          <w:rPr>
            <w:rStyle w:val="Hyperlink"/>
          </w:rPr>
          <w:t xml:space="preserve">https://seed.nih.gov/sites/default/files/2024-12/Regulatory-and-Manufacturing-Consulting-for-Life-Sciences.pdf?utm_source=chatgpt.com</w:t>
        </w:r>
      </w:hyperlink>
    </w:p>
    <w:p>
      <w:pPr>
        <w:pStyle w:val="BodyText"/>
      </w:pPr>
      <w:hyperlink r:id="rId26">
        <w:r>
          <w:rPr>
            <w:rStyle w:val="Hyperlink"/>
          </w:rPr>
          <w:t xml:space="preserve">[5]</w:t>
        </w:r>
      </w:hyperlink>
      <w:r>
        <w:t xml:space="preserve"> </w:t>
      </w:r>
      <w:hyperlink r:id="rId26">
        <w:r>
          <w:rPr>
            <w:rStyle w:val="Hyperlink"/>
          </w:rPr>
          <w:t xml:space="preserve">[7]</w:t>
        </w:r>
      </w:hyperlink>
      <w:r>
        <w:t xml:space="preserve"> </w:t>
      </w:r>
      <w:r>
        <w:t xml:space="preserve">Pharma R&amp;D 2025 Infographic | Citeline</w:t>
      </w:r>
    </w:p>
    <w:p>
      <w:pPr>
        <w:pStyle w:val="BodyText"/>
      </w:pPr>
      <w:hyperlink r:id="rId26">
        <w:r>
          <w:rPr>
            <w:rStyle w:val="Hyperlink"/>
          </w:rPr>
          <w:t xml:space="preserve">https://www.citeline.com/-/media/0696EC887C5543CCAD59E8B689FC1177?utm_source=chatgpt.com</w:t>
        </w:r>
      </w:hyperlink>
    </w:p>
    <w:p>
      <w:pPr>
        <w:pStyle w:val="BodyText"/>
      </w:pPr>
      <w:hyperlink r:id="rId27">
        <w:r>
          <w:rPr>
            <w:rStyle w:val="Hyperlink"/>
          </w:rPr>
          <w:t xml:space="preserve">[6]</w:t>
        </w:r>
      </w:hyperlink>
      <w:r>
        <w:t xml:space="preserve"> </w:t>
      </w:r>
      <w:r>
        <w:t xml:space="preserve">Emerging Biopharma’s Contribution to Innovation | IQVIA</w:t>
      </w:r>
    </w:p>
    <w:p>
      <w:pPr>
        <w:pStyle w:val="BodyText"/>
      </w:pPr>
      <w:hyperlink r:id="rId27">
        <w:r>
          <w:rPr>
            <w:rStyle w:val="Hyperlink"/>
          </w:rPr>
          <w:t xml:space="preserve">https://www.iqvia.com/insights/the-iqvia-institute/reports-and-publications/reports/emerging-biopharma-contribution-to-innovation?utm_source=chatgpt.com</w:t>
        </w:r>
      </w:hyperlink>
    </w:p>
    <w:p>
      <w:pPr>
        <w:pStyle w:val="BodyText"/>
      </w:pPr>
      <w:hyperlink r:id="rId29">
        <w:r>
          <w:rPr>
            <w:rStyle w:val="Hyperlink"/>
          </w:rPr>
          <w:t xml:space="preserve">[9]</w:t>
        </w:r>
      </w:hyperlink>
      <w:r>
        <w:t xml:space="preserve"> </w:t>
      </w:r>
      <w:hyperlink r:id="rId29">
        <w:r>
          <w:rPr>
            <w:rStyle w:val="Hyperlink"/>
          </w:rPr>
          <w:t xml:space="preserve">[19]</w:t>
        </w:r>
      </w:hyperlink>
      <w:r>
        <w:t xml:space="preserve"> </w:t>
      </w:r>
      <w:r>
        <w:t xml:space="preserve">Leading AI Drug Development Company | Intelligencia AI</w:t>
      </w:r>
    </w:p>
    <w:p>
      <w:pPr>
        <w:pStyle w:val="BodyText"/>
      </w:pPr>
      <w:hyperlink r:id="rId29">
        <w:r>
          <w:rPr>
            <w:rStyle w:val="Hyperlink"/>
          </w:rPr>
          <w:t xml:space="preserve">https://www.intelligencia.ai/?utm_source=chatgpt.com</w:t>
        </w:r>
      </w:hyperlink>
    </w:p>
    <w:p>
      <w:pPr>
        <w:pStyle w:val="BodyText"/>
      </w:pPr>
      <w:hyperlink r:id="rId30">
        <w:r>
          <w:rPr>
            <w:rStyle w:val="Hyperlink"/>
          </w:rPr>
          <w:t xml:space="preserve">[10]</w:t>
        </w:r>
      </w:hyperlink>
      <w:r>
        <w:t xml:space="preserve"> </w:t>
      </w:r>
      <w:r>
        <w:t xml:space="preserve">Intelligencia AI</w:t>
      </w:r>
    </w:p>
    <w:p>
      <w:pPr>
        <w:pStyle w:val="BodyText"/>
      </w:pPr>
      <w:hyperlink r:id="rId30">
        <w:r>
          <w:rPr>
            <w:rStyle w:val="Hyperlink"/>
          </w:rPr>
          <w:t xml:space="preserve">https://4149027.fs1.hubspotusercontent-na1.net/hubfs/4149027/IH24%20Speaker%20presentations/Panos%20Karelis.pdf?utm_source=chatgpt.com</w:t>
        </w:r>
      </w:hyperlink>
    </w:p>
    <w:p>
      <w:pPr>
        <w:pStyle w:val="BodyText"/>
      </w:pPr>
      <w:hyperlink r:id="rId31">
        <w:r>
          <w:rPr>
            <w:rStyle w:val="Hyperlink"/>
          </w:rPr>
          <w:t xml:space="preserve">[11]</w:t>
        </w:r>
      </w:hyperlink>
      <w:r>
        <w:t xml:space="preserve"> </w:t>
      </w:r>
      <w:r>
        <w:t xml:space="preserve">Evaluate Omnium | Evaluate</w:t>
      </w:r>
    </w:p>
    <w:p>
      <w:pPr>
        <w:pStyle w:val="BodyText"/>
      </w:pPr>
      <w:hyperlink r:id="rId31">
        <w:r>
          <w:rPr>
            <w:rStyle w:val="Hyperlink"/>
          </w:rPr>
          <w:t xml:space="preserve">https://www.evaluate.com/solutions/evaluate-omnium/?utm_source=chatgpt.com</w:t>
        </w:r>
      </w:hyperlink>
    </w:p>
    <w:p>
      <w:pPr>
        <w:pStyle w:val="BodyText"/>
      </w:pPr>
      <w:hyperlink r:id="rId32">
        <w:r>
          <w:rPr>
            <w:rStyle w:val="Hyperlink"/>
          </w:rPr>
          <w:t xml:space="preserve">[12]</w:t>
        </w:r>
      </w:hyperlink>
      <w:r>
        <w:t xml:space="preserve"> </w:t>
      </w:r>
      <w:r>
        <w:t xml:space="preserve"> </w:t>
      </w:r>
      <w:r>
        <w:t xml:space="preserve">Cortellis Life Sciences Intelligence Solutions | Clarivate</w:t>
      </w:r>
      <w:r>
        <w:t xml:space="preserve"> </w:t>
      </w:r>
    </w:p>
    <w:p>
      <w:pPr>
        <w:pStyle w:val="BodyText"/>
      </w:pPr>
      <w:hyperlink r:id="rId32">
        <w:r>
          <w:rPr>
            <w:rStyle w:val="Hyperlink"/>
          </w:rPr>
          <w:t xml:space="preserve">https://clarivate.com/life-sciences-healthcare/cortellis/?utm_source=chatgpt.com</w:t>
        </w:r>
      </w:hyperlink>
    </w:p>
    <w:p>
      <w:pPr>
        <w:pStyle w:val="BodyText"/>
      </w:pPr>
      <w:hyperlink r:id="rId33">
        <w:r>
          <w:rPr>
            <w:rStyle w:val="Hyperlink"/>
          </w:rPr>
          <w:t xml:space="preserve">[14]</w:t>
        </w:r>
      </w:hyperlink>
      <w:r>
        <w:t xml:space="preserve"> </w:t>
      </w:r>
      <w:r>
        <w:t xml:space="preserve">Due diligence for biotech | Consulting |ICON plc</w:t>
      </w:r>
    </w:p>
    <w:p>
      <w:pPr>
        <w:pStyle w:val="BodyText"/>
      </w:pPr>
      <w:hyperlink r:id="rId33">
        <w:r>
          <w:rPr>
            <w:rStyle w:val="Hyperlink"/>
          </w:rPr>
          <w:t xml:space="preserve">https://www.iconplc.com/solutions/consulting/asset-development/due-diligence-asset-valuation?utm_source=chatgpt.com</w:t>
        </w:r>
      </w:hyperlink>
    </w:p>
    <w:p>
      <w:pPr>
        <w:pStyle w:val="BodyText"/>
      </w:pPr>
      <w:hyperlink r:id="rId34">
        <w:r>
          <w:rPr>
            <w:rStyle w:val="Hyperlink"/>
          </w:rPr>
          <w:t xml:space="preserve">[15]</w:t>
        </w:r>
      </w:hyperlink>
      <w:r>
        <w:t xml:space="preserve"> </w:t>
      </w:r>
      <w:r>
        <w:t xml:space="preserve">Owkin bags $180m BMS alliance for cardiovascular clinical trials | pharmaphorum</w:t>
      </w:r>
    </w:p>
    <w:p>
      <w:pPr>
        <w:pStyle w:val="BodyText"/>
      </w:pPr>
      <w:hyperlink r:id="rId34">
        <w:r>
          <w:rPr>
            <w:rStyle w:val="Hyperlink"/>
          </w:rPr>
          <w:t xml:space="preserve">https://pharmaphorum.com/news/owkin-bags-180m-bms-alliance-for-cardiovascular-clinical-trials?utm_source=chatgpt.com</w:t>
        </w:r>
      </w:hyperlink>
    </w:p>
    <w:p>
      <w:pPr>
        <w:pStyle w:val="BodyText"/>
      </w:pPr>
      <w:hyperlink r:id="rId35">
        <w:r>
          <w:rPr>
            <w:rStyle w:val="Hyperlink"/>
          </w:rPr>
          <w:t xml:space="preserve">[16]</w:t>
        </w:r>
      </w:hyperlink>
      <w:r>
        <w:t xml:space="preserve"> </w:t>
      </w:r>
      <w:r>
        <w:t xml:space="preserve">Iambic Announces Collaboration with Takeda to Advance AI-Driven Design of Small Molecules</w:t>
      </w:r>
    </w:p>
    <w:p>
      <w:pPr>
        <w:pStyle w:val="BodyText"/>
      </w:pPr>
      <w:hyperlink r:id="rId35">
        <w:r>
          <w:rPr>
            <w:rStyle w:val="Hyperlink"/>
          </w:rPr>
          <w:t xml:space="preserve">https://www.iambic.ai/post/iambic-announces-collaboration-with-takeda?utm_source=chatgpt.com</w:t>
        </w:r>
      </w:hyperlink>
    </w:p>
    <w:p>
      <w:pPr>
        <w:pStyle w:val="BodyText"/>
      </w:pPr>
      <w:hyperlink r:id="rId36">
        <w:r>
          <w:rPr>
            <w:rStyle w:val="Hyperlink"/>
          </w:rPr>
          <w:t xml:space="preserve">[17]</w:t>
        </w:r>
      </w:hyperlink>
      <w:r>
        <w:t xml:space="preserve"> </w:t>
      </w:r>
      <w:r>
        <w:t xml:space="preserve">AstraZeneca enters strategic collaboration with CSPC Pharmaceuticals focused on AI-enabled research</w:t>
      </w:r>
    </w:p>
    <w:p>
      <w:pPr>
        <w:pStyle w:val="BodyText"/>
      </w:pPr>
      <w:hyperlink r:id="rId36">
        <w:r>
          <w:rPr>
            <w:rStyle w:val="Hyperlink"/>
          </w:rPr>
          <w:t xml:space="preserve">https://www.astrazeneca.com/media-centre/press-releases/2025/astrazeneca-enters-into-collaboration-with-cspc.html?utm_source=chatgpt.com</w:t>
        </w:r>
      </w:hyperlink>
    </w:p>
    <w:p>
      <w:pPr>
        <w:pStyle w:val="BodyText"/>
      </w:pPr>
      <w:hyperlink r:id="rId37">
        <w:r>
          <w:rPr>
            <w:rStyle w:val="Hyperlink"/>
          </w:rPr>
          <w:t xml:space="preserve">[18]</w:t>
        </w:r>
      </w:hyperlink>
      <w:r>
        <w:t xml:space="preserve"> </w:t>
      </w:r>
      <w:r>
        <w:t xml:space="preserve">Insilico and Lilly Enter a Research &amp; Licensing Collaboration to Advance AI-Driven Drug Discovery</w:t>
      </w:r>
    </w:p>
    <w:p>
      <w:pPr>
        <w:pStyle w:val="BodyText"/>
      </w:pPr>
      <w:hyperlink r:id="rId37">
        <w:r>
          <w:rPr>
            <w:rStyle w:val="Hyperlink"/>
          </w:rPr>
          <w:t xml:space="preserve">https://www.prnewswire.com/news-releases/insilico-and-lilly-enter-a-research--licensing-collaboration-to-advance-ai-driven-drug-discovery-302610234.html?utm_source=chatgpt.com</w:t>
        </w:r>
      </w:hyperlink>
    </w:p>
    <w:p>
      <w:pPr>
        <w:pStyle w:val="BodyText"/>
      </w:pPr>
      <w:hyperlink r:id="rId39">
        <w:r>
          <w:rPr>
            <w:rStyle w:val="Hyperlink"/>
          </w:rPr>
          <w:t xml:space="preserve">[20]</w:t>
        </w:r>
      </w:hyperlink>
      <w:r>
        <w:t xml:space="preserve"> </w:t>
      </w:r>
      <w:r>
        <w:t xml:space="preserve">Table 2, Summary of Drug Development Cost Model Parameters and ...</w:t>
      </w:r>
    </w:p>
    <w:p>
      <w:pPr>
        <w:pStyle w:val="BodyText"/>
      </w:pPr>
      <w:hyperlink r:id="rId39">
        <w:r>
          <w:rPr>
            <w:rStyle w:val="Hyperlink"/>
          </w:rPr>
          <w:t xml:space="preserve">https://www.ncbi.nlm.nih.gov/books/NBK611884/table/ch5.tab1/?utm_source=chatgpt.com</w:t>
        </w:r>
      </w:hyperlink>
    </w:p>
    <w:p>
      <w:pPr>
        <w:pStyle w:val="BodyText"/>
      </w:pPr>
      <w:hyperlink r:id="rId43">
        <w:r>
          <w:rPr>
            <w:rStyle w:val="Hyperlink"/>
          </w:rPr>
          <w:t xml:space="preserve">[26]</w:t>
        </w:r>
      </w:hyperlink>
      <w:r>
        <w:t xml:space="preserve"> </w:t>
      </w:r>
      <w:r>
        <w:t xml:space="preserve">Lonza | Small Molecules</w:t>
      </w:r>
    </w:p>
    <w:p>
      <w:pPr>
        <w:pStyle w:val="BodyText"/>
      </w:pPr>
      <w:hyperlink r:id="rId43">
        <w:r>
          <w:rPr>
            <w:rStyle w:val="Hyperlink"/>
          </w:rPr>
          <w:t xml:space="preserve">https://www.lonza.com/annualreport/2024/our-businesses/small-molecules?utm_source=chatgpt.com</w:t>
        </w:r>
      </w:hyperlink>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4149027.fs1.hubspotusercontent-na1.net/hubfs/4149027/IH24%20Speaker%20presentations/Panos%20Karelis.pdf?utm_source=chatgpt.com" TargetMode="External" /><Relationship Type="http://schemas.openxmlformats.org/officeDocument/2006/relationships/hyperlink" Id="rId32" Target="https://clarivate.com/life-sciences-healthcare/cortellis/?utm_source=chatgpt.com" TargetMode="External" /><Relationship Type="http://schemas.openxmlformats.org/officeDocument/2006/relationships/hyperlink" Id="rId22" Target="https://go.bio.org/rs/490-EHZ-999/images/ClinicalDevelopmentSuccessRates2011_2020.pdf?utm_source=chatgpt.com" TargetMode="External" /><Relationship Type="http://schemas.openxmlformats.org/officeDocument/2006/relationships/hyperlink" Id="rId34" Target="https://pharmaphorum.com/news/owkin-bags-180m-bms-alliance-for-cardiovascular-clinical-trials?utm_source=chatgpt.com" TargetMode="External" /><Relationship Type="http://schemas.openxmlformats.org/officeDocument/2006/relationships/hyperlink" Id="rId24" Target="https://seed.nih.gov/sites/default/files/2024-12/Regulatory-and-Manufacturing-Consulting-for-Life-Sciences.pdf?utm_source=chatgpt.com" TargetMode="External" /><Relationship Type="http://schemas.openxmlformats.org/officeDocument/2006/relationships/hyperlink" Id="rId36" Target="https://www.astrazeneca.com/media-centre/press-releases/2025/astrazeneca-enters-into-collaboration-with-cspc.html?utm_source=chatgpt.com" TargetMode="External" /><Relationship Type="http://schemas.openxmlformats.org/officeDocument/2006/relationships/hyperlink" Id="rId26" Target="https://www.citeline.com/-/media/0696EC887C5543CCAD59E8B689FC1177?utm_source=chatgpt.com" TargetMode="External" /><Relationship Type="http://schemas.openxmlformats.org/officeDocument/2006/relationships/hyperlink" Id="rId21" Target="https://www.clinicalleader.com/doc/citeline-pharma-r-d-review-pleasant-weather-ahead-0001?utm_source=chatgpt.com" TargetMode="External" /><Relationship Type="http://schemas.openxmlformats.org/officeDocument/2006/relationships/hyperlink" Id="rId31" Target="https://www.evaluate.com/solutions/evaluate-omnium/?utm_source=chatgpt.com" TargetMode="External" /><Relationship Type="http://schemas.openxmlformats.org/officeDocument/2006/relationships/hyperlink" Id="rId23" Target="https://www.federalcompass.com/award-contract-detail/75N98026P00045?utm_source=chatgpt.com" TargetMode="External" /><Relationship Type="http://schemas.openxmlformats.org/officeDocument/2006/relationships/hyperlink" Id="rId35" Target="https://www.iambic.ai/post/iambic-announces-collaboration-with-takeda?utm_source=chatgpt.com" TargetMode="External" /><Relationship Type="http://schemas.openxmlformats.org/officeDocument/2006/relationships/hyperlink" Id="rId33" Target="https://www.iconplc.com/solutions/consulting/asset-development/due-diligence-asset-valuation?utm_source=chatgpt.com" TargetMode="External" /><Relationship Type="http://schemas.openxmlformats.org/officeDocument/2006/relationships/hyperlink" Id="rId29" Target="https://www.intelligencia.ai/?utm_source=chatgpt.com" TargetMode="External" /><Relationship Type="http://schemas.openxmlformats.org/officeDocument/2006/relationships/hyperlink" Id="rId27" Target="https://www.iqvia.com/insights/the-iqvia-institute/reports-and-publications/reports/emerging-biopharma-contribution-to-innovation?utm_source=chatgpt.com" TargetMode="External" /><Relationship Type="http://schemas.openxmlformats.org/officeDocument/2006/relationships/hyperlink" Id="rId43" Target="https://www.lonza.com/annualreport/2024/our-businesses/small-molecules?utm_source=chatgpt.com" TargetMode="External" /><Relationship Type="http://schemas.openxmlformats.org/officeDocument/2006/relationships/hyperlink" Id="rId39" Target="https://www.ncbi.nlm.nih.gov/books/NBK611884/table/ch5.tab1/?utm_source=chatgpt.com" TargetMode="External" /><Relationship Type="http://schemas.openxmlformats.org/officeDocument/2006/relationships/hyperlink" Id="rId37" Target="https://www.prnewswire.com/news-releases/insilico-and-lilly-enter-a-research--licensing-collaboration-to-advance-ai-driven-drug-discovery-302610234.html?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30" Target="https://4149027.fs1.hubspotusercontent-na1.net/hubfs/4149027/IH24%20Speaker%20presentations/Panos%20Karelis.pdf?utm_source=chatgpt.com" TargetMode="External" /><Relationship Type="http://schemas.openxmlformats.org/officeDocument/2006/relationships/hyperlink" Id="rId32" Target="https://clarivate.com/life-sciences-healthcare/cortellis/?utm_source=chatgpt.com" TargetMode="External" /><Relationship Type="http://schemas.openxmlformats.org/officeDocument/2006/relationships/hyperlink" Id="rId22" Target="https://go.bio.org/rs/490-EHZ-999/images/ClinicalDevelopmentSuccessRates2011_2020.pdf?utm_source=chatgpt.com" TargetMode="External" /><Relationship Type="http://schemas.openxmlformats.org/officeDocument/2006/relationships/hyperlink" Id="rId34" Target="https://pharmaphorum.com/news/owkin-bags-180m-bms-alliance-for-cardiovascular-clinical-trials?utm_source=chatgpt.com" TargetMode="External" /><Relationship Type="http://schemas.openxmlformats.org/officeDocument/2006/relationships/hyperlink" Id="rId24" Target="https://seed.nih.gov/sites/default/files/2024-12/Regulatory-and-Manufacturing-Consulting-for-Life-Sciences.pdf?utm_source=chatgpt.com" TargetMode="External" /><Relationship Type="http://schemas.openxmlformats.org/officeDocument/2006/relationships/hyperlink" Id="rId36" Target="https://www.astrazeneca.com/media-centre/press-releases/2025/astrazeneca-enters-into-collaboration-with-cspc.html?utm_source=chatgpt.com" TargetMode="External" /><Relationship Type="http://schemas.openxmlformats.org/officeDocument/2006/relationships/hyperlink" Id="rId26" Target="https://www.citeline.com/-/media/0696EC887C5543CCAD59E8B689FC1177?utm_source=chatgpt.com" TargetMode="External" /><Relationship Type="http://schemas.openxmlformats.org/officeDocument/2006/relationships/hyperlink" Id="rId21" Target="https://www.clinicalleader.com/doc/citeline-pharma-r-d-review-pleasant-weather-ahead-0001?utm_source=chatgpt.com" TargetMode="External" /><Relationship Type="http://schemas.openxmlformats.org/officeDocument/2006/relationships/hyperlink" Id="rId31" Target="https://www.evaluate.com/solutions/evaluate-omnium/?utm_source=chatgpt.com" TargetMode="External" /><Relationship Type="http://schemas.openxmlformats.org/officeDocument/2006/relationships/hyperlink" Id="rId23" Target="https://www.federalcompass.com/award-contract-detail/75N98026P00045?utm_source=chatgpt.com" TargetMode="External" /><Relationship Type="http://schemas.openxmlformats.org/officeDocument/2006/relationships/hyperlink" Id="rId35" Target="https://www.iambic.ai/post/iambic-announces-collaboration-with-takeda?utm_source=chatgpt.com" TargetMode="External" /><Relationship Type="http://schemas.openxmlformats.org/officeDocument/2006/relationships/hyperlink" Id="rId33" Target="https://www.iconplc.com/solutions/consulting/asset-development/due-diligence-asset-valuation?utm_source=chatgpt.com" TargetMode="External" /><Relationship Type="http://schemas.openxmlformats.org/officeDocument/2006/relationships/hyperlink" Id="rId29" Target="https://www.intelligencia.ai/?utm_source=chatgpt.com" TargetMode="External" /><Relationship Type="http://schemas.openxmlformats.org/officeDocument/2006/relationships/hyperlink" Id="rId27" Target="https://www.iqvia.com/insights/the-iqvia-institute/reports-and-publications/reports/emerging-biopharma-contribution-to-innovation?utm_source=chatgpt.com" TargetMode="External" /><Relationship Type="http://schemas.openxmlformats.org/officeDocument/2006/relationships/hyperlink" Id="rId43" Target="https://www.lonza.com/annualreport/2024/our-businesses/small-molecules?utm_source=chatgpt.com" TargetMode="External" /><Relationship Type="http://schemas.openxmlformats.org/officeDocument/2006/relationships/hyperlink" Id="rId39" Target="https://www.ncbi.nlm.nih.gov/books/NBK611884/table/ch5.tab1/?utm_source=chatgpt.com" TargetMode="External" /><Relationship Type="http://schemas.openxmlformats.org/officeDocument/2006/relationships/hyperlink" Id="rId37" Target="https://www.prnewswire.com/news-releases/insilico-and-lilly-enter-a-research--licensing-collaboration-to-advance-ai-driven-drug-discovery-302610234.html?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2026-04-22T23:02:43Z</dcterms:created>
  <dcterms:modified xsi:type="dcterms:W3CDTF">2026-04-22T23:02:43Z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