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monitoring_log.md — Project 2: The Strategy Lab</w:t>
      </w:r>
    </w:p>
    <w:p>
      <w:pPr>
        <w:keepLines/>
        <w:spacing w:after="80"/>
      </w:pPr>
      <w:r>
        <w:t>Paper-trading monitoring log for FINA 4075/5075, Fall 2026.</w:t>
      </w:r>
    </w:p>
    <w:p>
      <w:pPr>
        <w:keepLines/>
        <w:spacing w:after="80"/>
      </w:pPr>
      <w:r/>
      <w:r>
        <w:rPr>
          <w:b/>
        </w:rPr>
        <w:t>Track 1:</w:t>
      </w:r>
      <w:r>
        <w:t xml:space="preserve"> Locked 36-month low-volatility strategy; select 20 lowest sample standard deviations (`ddof=1`), 5% each, monthly rebalanced, 10 basis points per side, alphabetical exact tie-break.</w:t>
      </w:r>
    </w:p>
    <w:p>
      <w:pPr>
        <w:keepLines/>
        <w:spacing w:after="80"/>
      </w:pPr>
      <w:r/>
      <w:r>
        <w:rPr>
          <w:b/>
        </w:rPr>
        <w:t>Track 2:</w:t>
      </w:r>
      <w:r>
        <w:t xml:space="preserve"> Frozen OpenAI GPT-5.6 Sol, Light effort; 20 equally weighted names selected using the September-end briefing table. Original frozen prompt and protocol are in `llm_analyst_prompt.md`.</w:t>
      </w:r>
    </w:p>
    <w:p>
      <w:pPr>
        <w:keepLines/>
        <w:spacing w:after="80"/>
      </w:pPr>
      <w:r>
        <w:t>Pre-registration evidence: The team confirms that its 36-month low-volatility strategy.py was committed on September 20, 2026, and the supplied strategy_rules.md describes the same locked methodology. The September 20 commit e5e005b added a monitoring_log.md copied from the instructor example (intermediate momentum and Claude Fable 5.1), which does not describe the team's strategy or GPT-5.6 Sol Light AI workflow. This corrected log records the team's actual methodology and preserves the original GitHub history. The September Entry 0 holdings below were reconstructed from the locked strategy and August data, rather than copied from the original example-derived log.</w:t>
      </w:r>
    </w:p>
    <w:p>
      <w:pPr>
        <w:pStyle w:val="Heading1"/>
        <w:keepLines/>
      </w:pPr>
      <w:r>
        <w:t>ENTRY 0 — September 2026 (historical reconstruction and disclosure)</w:t>
      </w:r>
    </w:p>
    <w:p>
      <w:pPr>
        <w:keepLines/>
        <w:spacing w:after="80"/>
      </w:pPr>
      <w:r/>
      <w:r>
        <w:rPr>
          <w:b/>
        </w:rPr>
        <w:t>Source:</w:t>
      </w:r>
      <w:r>
        <w:t xml:space="preserve"> `panel_returns_2026-08-31.csv`, instructor SHA-256 `c9d3340eba3a3301a63bb788c87f1d6e9e55de58a3fec16b12a34b313cac076b` (original file hash not independently rechecked here).</w:t>
      </w:r>
    </w:p>
    <w:p>
      <w:pPr>
        <w:keepLines/>
        <w:spacing w:after="80"/>
      </w:pPr>
      <w:r/>
      <w:r>
        <w:rPr>
          <w:b/>
        </w:rPr>
        <w:t>Track 1 — reconstructed September holdings using original strategy and August-end information:</w:t>
      </w:r>
      <w:r/>
    </w:p>
    <w:p>
      <w:pPr>
        <w:keepLines/>
        <w:spacing w:after="80"/>
      </w:pPr>
      <w:r>
        <w:t>ADC, AVA, AWR, BATRK, BKH, BRX, CPB, CTRE, CWT, IDA, INGR, KRG, NJR, NNN, NWE, OGE, OTTR, POR, SR, SWX</w:t>
      </w:r>
    </w:p>
    <w:p>
      <w:pPr>
        <w:keepLines/>
        <w:spacing w:after="80"/>
      </w:pPr>
      <w:r>
        <w:t xml:space="preserve">Signal window: September 2023–August 2026 (36 months). These holdings are derived from the locked strategy code, </w:t>
      </w:r>
      <w:r>
        <w:rPr>
          <w:b/>
        </w:rPr>
        <w:t>not</w:t>
      </w:r>
      <w:r>
        <w:t xml:space="preserve"> verified against a contemporaneous September Entry 0 containing these names.</w:t>
      </w:r>
    </w:p>
    <w:p>
      <w:pPr>
        <w:keepLines/>
        <w:spacing w:after="80"/>
      </w:pPr>
      <w:r/>
      <w:r>
        <w:rPr>
          <w:b/>
        </w:rPr>
        <w:t>Track 2 — September holdings transcribed from frozen prompt file:</w:t>
      </w:r>
      <w:r/>
    </w:p>
    <w:p>
      <w:pPr>
        <w:keepLines/>
        <w:spacing w:after="80"/>
      </w:pPr>
      <w:r>
        <w:t>PBF, DK, OII, PTEN, AMRX, HAE, LNTH, CHEF, PSMT, MSGS, STGW, CNK, ZD, MTRN, ASH, EAT, ETSY, AMG, AVT, SLAB</w:t>
      </w:r>
    </w:p>
    <w:p>
      <w:pPr>
        <w:keepLines/>
        <w:spacing w:after="80"/>
      </w:pPr>
      <w:r>
        <w:t>Recorded model: GPT-5.6 Sol, Light; run date September 15, 2026; exact time not established in supplied evidence. The prompt file records first valid response with no retry. September Track 1 and Track 2 overlap: 0 names.</w:t>
      </w:r>
    </w:p>
    <w:p>
      <w:pPr>
        <w:keepLines/>
        <w:spacing w:after="80"/>
      </w:pPr>
      <w:r>
        <w:t>Original log correction: The September 20 monitoring log in commit e5e005b mistakenly retained the instructor example's momentum holdings and Claude model description. The team confirms that its locked strategy was the supplied low-volatility code. This checkpoint corrects the narrative and reports holdings calculated under those locked rules; it does not modify the original commit. Disclose the mistaken example text in the AI Audit Note.</w:t>
      </w:r>
    </w:p>
    <w:p>
      <w:pPr>
        <w:pStyle w:val="Heading1"/>
        <w:keepLines/>
      </w:pPr>
      <w:r>
        <w:t>CHECKPOINT 1 — September scored; October portfolios (due October 11, 2026)</w:t>
      </w:r>
    </w:p>
    <w:p>
      <w:pPr>
        <w:keepLines/>
        <w:spacing w:after="80"/>
      </w:pPr>
      <w:r/>
      <w:r>
        <w:rPr>
          <w:b/>
        </w:rPr>
        <w:t>Extension:</w:t>
      </w:r>
      <w:r>
        <w:t xml:space="preserve"> `panel_returns_2026-09-30.csv`, posted October 5, 2026; 93 months × 200 stocks. SHA-256 independently verified: `d9417fdf2892769b1662aeb6a82b13d6f96199416ae8b082977b5d3f43e8acea`. Historical August-end rows are expected to match the instructor's original panel; an independent byte-for-byte historical-row comparison with the original August file has not been completed here. Preserve the extension CSV unchanged in GitHub.</w:t>
      </w:r>
    </w:p>
    <w:p>
      <w:pPr>
        <w:keepLines/>
        <w:spacing w:after="80"/>
      </w:pPr>
      <w:r>
        <w:t>Mechanical rerun check: September selection from the 93-row extension uses only its first 92 rows and reproduces the reconstructed September list above. The original September Entry 0 in the committed monitoring log used the instructor example, so it cannot serve as a 20/20 comparison to the team’s low-volatility list; this discrepancy is disclosed above.</w:t>
      </w:r>
    </w:p>
    <w:p>
      <w:pPr>
        <w:pStyle w:val="Heading2"/>
        <w:keepLines/>
      </w:pPr>
      <w:r>
        <w:t>1. September 2026 performance</w:t>
      </w:r>
    </w:p>
    <w:p>
      <w:pPr>
        <w:keepLines/>
        <w:spacing w:after="80"/>
      </w:pPr>
      <w:r>
        <w:t>Live evaluation uses the September holdings shown above, equal weights and first-live-month turnover of 1.0. Cost = 2 × 0.0010 × 1.0 = 0.0020 (0.20 percentage points) for each track. Benchmark has no cost.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sz w:val="16"/>
              </w:rPr>
              <w:t>Measure</w:t>
            </w:r>
          </w:p>
        </w:tc>
        <w:tc>
          <w:tcPr>
            <w:tcW w:type="dxa" w:w="2160"/>
          </w:tcPr>
          <w:p>
            <w:r>
              <w:rPr>
                <w:sz w:val="16"/>
              </w:rPr>
              <w:t>Track 1</w:t>
            </w:r>
          </w:p>
        </w:tc>
        <w:tc>
          <w:tcPr>
            <w:tcW w:type="dxa" w:w="2160"/>
          </w:tcPr>
          <w:p>
            <w:r>
              <w:rPr>
                <w:sz w:val="16"/>
              </w:rPr>
              <w:t>Track 2</w:t>
            </w:r>
          </w:p>
        </w:tc>
        <w:tc>
          <w:tcPr>
            <w:tcW w:type="dxa" w:w="2160"/>
          </w:tcPr>
          <w:p>
            <w:r>
              <w:rPr>
                <w:sz w:val="16"/>
              </w:rPr>
              <w:t>Benchmark</w:t>
            </w:r>
          </w:p>
        </w:tc>
      </w:tr>
      <w:tr>
        <w:tc>
          <w:tcPr>
            <w:tcW w:type="dxa" w:w="2160"/>
          </w:tcPr>
          <w:p>
            <w:r>
              <w:rPr>
                <w:sz w:val="16"/>
              </w:rPr>
              <w:t>Gross return</w:t>
            </w:r>
          </w:p>
        </w:tc>
        <w:tc>
          <w:tcPr>
            <w:tcW w:type="dxa" w:w="2160"/>
          </w:tcPr>
          <w:p>
            <w:r>
              <w:rPr>
                <w:sz w:val="16"/>
              </w:rPr>
              <w:t>-5.24806%</w:t>
            </w:r>
          </w:p>
        </w:tc>
        <w:tc>
          <w:tcPr>
            <w:tcW w:type="dxa" w:w="2160"/>
          </w:tcPr>
          <w:p>
            <w:r>
              <w:rPr>
                <w:sz w:val="16"/>
              </w:rPr>
              <w:t>-0.64280%</w:t>
            </w:r>
          </w:p>
        </w:tc>
        <w:tc>
          <w:tcPr>
            <w:tcW w:type="dxa" w:w="2160"/>
          </w:tcPr>
          <w:p>
            <w:r>
              <w:rPr>
                <w:sz w:val="16"/>
              </w:rPr>
              <w:t>-5.78433%</w:t>
            </w:r>
          </w:p>
        </w:tc>
      </w:tr>
      <w:tr>
        <w:tc>
          <w:tcPr>
            <w:tcW w:type="dxa" w:w="2160"/>
          </w:tcPr>
          <w:p>
            <w:r>
              <w:rPr>
                <w:sz w:val="16"/>
              </w:rPr>
              <w:t>Trading cost (pp)</w:t>
            </w:r>
          </w:p>
        </w:tc>
        <w:tc>
          <w:tcPr>
            <w:tcW w:type="dxa" w:w="2160"/>
          </w:tcPr>
          <w:p>
            <w:r>
              <w:rPr>
                <w:sz w:val="16"/>
              </w:rPr>
              <w:t>0.20000</w:t>
            </w:r>
          </w:p>
        </w:tc>
        <w:tc>
          <w:tcPr>
            <w:tcW w:type="dxa" w:w="2160"/>
          </w:tcPr>
          <w:p>
            <w:r>
              <w:rPr>
                <w:sz w:val="16"/>
              </w:rPr>
              <w:t>0.20000</w:t>
            </w:r>
          </w:p>
        </w:tc>
        <w:tc>
          <w:tcPr>
            <w:tcW w:type="dxa" w:w="2160"/>
          </w:tcPr>
          <w:p>
            <w:r>
              <w:rPr>
                <w:sz w:val="16"/>
              </w:rPr>
              <w:t>0.00000</w:t>
            </w:r>
          </w:p>
        </w:tc>
      </w:tr>
      <w:tr>
        <w:tc>
          <w:tcPr>
            <w:tcW w:type="dxa" w:w="2160"/>
          </w:tcPr>
          <w:p>
            <w:r>
              <w:rPr>
                <w:sz w:val="16"/>
              </w:rPr>
              <w:t>Net return</w:t>
            </w:r>
          </w:p>
        </w:tc>
        <w:tc>
          <w:tcPr>
            <w:tcW w:type="dxa" w:w="2160"/>
          </w:tcPr>
          <w:p>
            <w:r>
              <w:rPr>
                <w:sz w:val="16"/>
              </w:rPr>
              <w:t>-5.44806%</w:t>
            </w:r>
          </w:p>
        </w:tc>
        <w:tc>
          <w:tcPr>
            <w:tcW w:type="dxa" w:w="2160"/>
          </w:tcPr>
          <w:p>
            <w:r>
              <w:rPr>
                <w:sz w:val="16"/>
              </w:rPr>
              <w:t>-0.84280%</w:t>
            </w:r>
          </w:p>
        </w:tc>
        <w:tc>
          <w:tcPr>
            <w:tcW w:type="dxa" w:w="2160"/>
          </w:tcPr>
          <w:p>
            <w:r>
              <w:rPr>
                <w:sz w:val="16"/>
              </w:rPr>
              <w:t>-5.78433%</w:t>
            </w:r>
          </w:p>
        </w:tc>
      </w:tr>
      <w:tr>
        <w:tc>
          <w:tcPr>
            <w:tcW w:type="dxa" w:w="2160"/>
          </w:tcPr>
          <w:p>
            <w:r>
              <w:rPr>
                <w:sz w:val="16"/>
              </w:rPr>
              <w:t>Gap vs benchmark (pp)</w:t>
            </w:r>
          </w:p>
        </w:tc>
        <w:tc>
          <w:tcPr>
            <w:tcW w:type="dxa" w:w="2160"/>
          </w:tcPr>
          <w:p>
            <w:r>
              <w:rPr>
                <w:sz w:val="16"/>
              </w:rPr>
              <w:t>+0.33627</w:t>
            </w:r>
          </w:p>
        </w:tc>
        <w:tc>
          <w:tcPr>
            <w:tcW w:type="dxa" w:w="2160"/>
          </w:tcPr>
          <w:p>
            <w:r>
              <w:rPr>
                <w:sz w:val="16"/>
              </w:rPr>
              <w:t>+4.94153</w:t>
            </w:r>
          </w:p>
        </w:tc>
        <w:tc>
          <w:tcPr>
            <w:tcW w:type="dxa" w:w="2160"/>
          </w:tcPr>
          <w:p>
            <w:r>
              <w:rPr>
                <w:sz w:val="16"/>
              </w:rPr>
              <w:t>0.00000</w:t>
            </w:r>
          </w:p>
        </w:tc>
      </w:tr>
    </w:tbl>
    <w:p>
      <w:pPr>
        <w:pStyle w:val="Heading2"/>
        <w:keepLines/>
      </w:pPr>
      <w:r>
        <w:t>2. October 2026 holdings (selected using information through September 30)</w:t>
      </w:r>
    </w:p>
    <w:p>
      <w:pPr>
        <w:keepLines/>
        <w:spacing w:after="80"/>
      </w:pPr>
      <w:r/>
      <w:r>
        <w:rPr>
          <w:b/>
        </w:rPr>
        <w:t>Track 1 — locked low-volatility strategy, 20 names:</w:t>
      </w:r>
      <w:r/>
    </w:p>
    <w:p>
      <w:pPr>
        <w:keepLines/>
        <w:spacing w:after="80"/>
      </w:pPr>
      <w:r>
        <w:t>ADC, AVA, AWR, BATRK, BKH, BRX, CTRE, CWT, IDA, INGR, KRG, NJR, NNN, NWE, OGE, OTTR, POR, SBRA, SR, STAG</w:t>
      </w:r>
    </w:p>
    <w:p>
      <w:pPr>
        <w:keepLines/>
        <w:spacing w:after="80"/>
      </w:pPr>
      <w:r>
        <w:t>Signal window: October 2023–September 2026. Names entering: SBRA, STAG. Names exiting: CPB, SWX. One-way name turnover = 0.10; projected October cost = 0.02 percentage points, charged when October is scored, not in September.</w:t>
      </w:r>
    </w:p>
    <w:p>
      <w:pPr>
        <w:keepLines/>
        <w:spacing w:after="80"/>
      </w:pPr>
      <w:r/>
      <w:r>
        <w:rPr>
          <w:b/>
        </w:rPr>
        <w:t>Track 2 — first valid October AI output (verbatim):</w:t>
      </w:r>
      <w:r/>
    </w:p>
    <w:p>
      <w:pPr>
        <w:keepLines/>
        <w:spacing w:after="80"/>
      </w:pPr>
      <w:r>
        <w:t>AMG, AMRX, AVT, BRKR, CHEF, CNK, GAP, HAE, ITGR, MGNI, MSGS, MUR, NEU, PBF, QLYS, QRVO, RGEN, SAIC, SXT, ZD</w:t>
      </w:r>
    </w:p>
    <w:p>
      <w:pPr>
        <w:keepLines/>
        <w:spacing w:after="80"/>
      </w:pPr>
      <w:r>
        <w:t xml:space="preserve">Run: </w:t>
      </w:r>
      <w:r>
        <w:rPr>
          <w:b/>
        </w:rPr>
        <w:t>October 8, 2026 at 10:25 AM Central Daylight Time (CDT)</w:t>
      </w:r>
      <w:r>
        <w:t xml:space="preserve">. Model: </w:t>
      </w:r>
      <w:r>
        <w:rPr>
          <w:b/>
        </w:rPr>
        <w:t>GPT-5.6 Sol</w:t>
      </w:r>
      <w:r>
        <w:t xml:space="preserve">, effort </w:t>
      </w:r>
      <w:r>
        <w:rPr>
          <w:b/>
        </w:rPr>
        <w:t>Light</w:t>
      </w:r>
      <w:r>
        <w:t xml:space="preserve">. User confirms this was the first response, with no regeneration or retry. Validation: exactly 20 distinct tickers, all in the 200-stock briefing table; no extra prose. </w:t>
      </w:r>
      <w:r>
        <w:rPr>
          <w:b/>
        </w:rPr>
        <w:t>Retries: 0.</w:t>
      </w:r>
      <w:r/>
    </w:p>
    <w:p>
      <w:pPr>
        <w:keepLines/>
        <w:spacing w:after="80"/>
      </w:pPr>
      <w:r/>
      <w:r>
        <w:rPr>
          <w:b/>
        </w:rPr>
        <w:t>Protocol disclosure:</w:t>
      </w:r>
      <w:r>
        <w:t xml:space="preserve"> Screenshot shows the briefing table supplied as an attached `Pasted markdown(8).md` file rather than pasted inline in the same message, despite the frozen procedure specifying no attached files. The prompt was displayed in the chat. The run took place October 8, whereas the extension was posted October 5 and the frozen schedule says to run on the day the table is generated/posted. Record these deviations honestly; do not rerun a valid output to conceal them. Confirm with instructor whether any remedy is required.</w:t>
      </w:r>
    </w:p>
    <w:p>
      <w:pPr>
        <w:pStyle w:val="Heading2"/>
        <w:keepLines/>
      </w:pPr>
      <w:r>
        <w:t>3. Attribution (four sentences)</w:t>
      </w:r>
    </w:p>
    <w:p>
      <w:pPr>
        <w:keepLines/>
        <w:spacing w:after="80"/>
      </w:pPr>
      <w:r>
        <w:t>In September, Track 1 returned -5.45% net, exceeding the equal-weighted benchmark's -5.78% by 0.34 percentage points, while Track 2 returned -0.84% net and exceeded the benchmark by 4.94 percentage points. The AI portfolio benefited from positive September returns in AMRX (+15.28%) and MTRN (+14.19%), while low-volatility holdings included weaker names such as CPB (-16.26%). The portfolios overlapped in 0 of 20 holdings, which helps explain why their monthly results differed. One live month is not evidence of persistent skill, and neither the locked strategy nor the frozen prompt was changed in response to performance.</w:t>
      </w:r>
    </w:p>
    <w:p>
      <w:pPr>
        <w:keepLines/>
        <w:spacing w:after="80"/>
      </w:pPr>
      <w:r/>
      <w:r>
        <w:rPr>
          <w:b/>
        </w:rPr>
        <w:t>Checkpoint 1 GitHub commit:</w:t>
      </w:r>
      <w:r>
        <w:t xml:space="preserve"> [ADD COMMIT HASH AFTER COMMITTING THIS LOG AND THE UNCHANGED EXTENSION CSV].</w:t>
      </w:r>
    </w:p>
    <w:p>
      <w:pPr>
        <w:pStyle w:val="Heading1"/>
        <w:keepLines/>
      </w:pPr>
      <w:r>
        <w:t>CHECKPOINT 2 — due November 8, 2026</w:t>
      </w:r>
    </w:p>
    <w:p>
      <w:pPr>
        <w:keepLines/>
        <w:spacing w:after="80"/>
      </w:pPr>
      <w:r>
        <w:t>Await October extension. Verify standing October Track 1 holdings, score both tracks and the benchmark, choose November portfolios, and record 3–5 attribution sentences.</w:t>
      </w:r>
    </w:p>
    <w:p>
      <w:pPr>
        <w:pStyle w:val="Heading1"/>
        <w:keepLines/>
      </w:pPr>
      <w:r>
        <w:t>CHECKPOINT 3 — due December 6, 2026</w:t>
      </w:r>
    </w:p>
    <w:p>
      <w:pPr>
        <w:keepLines/>
        <w:spacing w:after="80"/>
      </w:pPr>
      <w:r>
        <w:t>Await November extension. Score standing November holdings and benchmark, complete attribution; no new December holdings are required.</w:t>
      </w:r>
    </w:p>
    <w:sectPr w:rsidR="00FC693F" w:rsidRPr="0006063C" w:rsidSect="00034616">
      <w:pgSz w:w="12240" w:h="15840"/>
      <w:pgMar w:top="1008" w:right="1800" w:bottom="936"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