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2 — Monitoring Log (FINA 4075/5075)</w:t>
      </w:r>
    </w:p>
    <w:p>
      <w:r>
        <w:t>Paper-trading monitoring log for FINA 4075/5075, Fall 2026.</w:t>
      </w:r>
    </w:p>
    <w:p>
      <w:r>
        <w:t>Track 1: Locked 36-month low-volatility strategy; select 20 lowest sample standard deviations (</w:t>
      </w:r>
      <w:r>
        <w:rPr>
          <w:i/>
        </w:rPr>
        <w:t>ddof=1</w:t>
      </w:r>
      <w:r>
        <w:t>), 5% each, monthly rebalanced, 10 basis points per side, alphabetical exact tie-break.</w:t>
      </w:r>
    </w:p>
    <w:p>
      <w:r>
        <w:t xml:space="preserve">Track 2: Frozen OpenAI GPT-5.6 Sol, Light effort; 20 equally weighted names selected using the relevant month-end briefing table (August-end for September holdings; September-end for October holdings). The frozen prompt and protocol are in </w:t>
      </w:r>
      <w:r>
        <w:rPr>
          <w:i/>
        </w:rPr>
        <w:t>llm_analyst_prompt (1).md</w:t>
      </w:r>
      <w:r>
        <w:t>.</w:t>
      </w:r>
    </w:p>
    <w:p>
      <w:r>
        <w:t xml:space="preserve">Pre-registration evidence and correction: GitHub file histories viewed October 11, 2026 show </w:t>
      </w:r>
      <w:r>
        <w:rPr>
          <w:i/>
        </w:rPr>
        <w:t>strategy_rules (1).md</w:t>
      </w:r>
      <w:r>
        <w:t xml:space="preserve"> uploaded September 18, 2026 (commit </w:t>
      </w:r>
      <w:r>
        <w:rPr>
          <w:i/>
        </w:rPr>
        <w:t>210dc74</w:t>
      </w:r>
      <w:r>
        <w:t xml:space="preserve">), </w:t>
      </w:r>
      <w:r>
        <w:rPr>
          <w:i/>
        </w:rPr>
        <w:t>strategy (1).py</w:t>
      </w:r>
      <w:r>
        <w:t xml:space="preserve"> uploaded September 20, 2026 (commit </w:t>
      </w:r>
      <w:r>
        <w:rPr>
          <w:i/>
        </w:rPr>
        <w:t>3a64986</w:t>
      </w:r>
      <w:r>
        <w:t xml:space="preserve">), and </w:t>
      </w:r>
      <w:r>
        <w:rPr>
          <w:i/>
        </w:rPr>
        <w:t>llm_analyst_prompt (1).md</w:t>
      </w:r>
      <w:r>
        <w:t xml:space="preserve"> uploaded September 20, 2026 (commit </w:t>
      </w:r>
      <w:r>
        <w:rPr>
          <w:i/>
        </w:rPr>
        <w:t>94e5b50</w:t>
      </w:r>
      <w:r>
        <w:t xml:space="preserve">). Each file's displayed history contained a single commit under that filename, with no later edits shown. These records support the original rule and prompt being in the repository by September 20, but do not independently prove that all pre-registration procedural requirements were satisfied. The </w:t>
      </w:r>
      <w:r>
        <w:rPr>
          <w:i/>
        </w:rPr>
        <w:t>monitoring_log.md</w:t>
      </w:r>
      <w:r>
        <w:t xml:space="preserve"> added September 20 in commit </w:t>
      </w:r>
      <w:r>
        <w:rPr>
          <w:i/>
        </w:rPr>
        <w:t>e5e005b</w:t>
      </w:r>
      <w:r>
        <w:t xml:space="preserve"> retained text from the instructor example describing intermediate momentum and Claude Fable 5.1. The original log therefore is </w:t>
      </w:r>
      <w:r>
        <w:rPr>
          <w:b/>
        </w:rPr>
        <w:t>not</w:t>
      </w:r>
      <w:r>
        <w:t xml:space="preserve"> contemporaneous evidence of the team's actual low-volatility September holdings or GPT-5.6 Sol Light workflow. This updated log transparently documents that discrepancy; the original commits remain in GitHub history. September Track 1 holdings below were reconstructed using the locked strategy and August-end data.</w:t>
      </w:r>
    </w:p>
    <w:p>
      <w:pPr>
        <w:pStyle w:val="Heading1"/>
      </w:pPr>
      <w:r>
        <w:t>ENTRY 0 — September 2026 (historical reconstruction and disclosure)</w:t>
      </w:r>
    </w:p>
    <w:p>
      <w:r>
        <w:t xml:space="preserve">Source: </w:t>
      </w:r>
      <w:r>
        <w:rPr>
          <w:i/>
        </w:rPr>
        <w:t>panel_returns_2026-08-31.csv</w:t>
      </w:r>
      <w:r>
        <w:t xml:space="preserve">, instructor SHA-256 </w:t>
      </w:r>
      <w:r>
        <w:rPr>
          <w:i/>
        </w:rPr>
        <w:t>c9d3340eba3a3301a63bb788c87f1d6e9e55de58a3fec16b12a34b313cac076b</w:t>
      </w:r>
      <w:r>
        <w:t xml:space="preserve"> (original file hash not independently rechecked here).</w:t>
      </w:r>
    </w:p>
    <w:p>
      <w:r>
        <w:t>Track 1 — reconstructed September holdings using original strategy and August-end information:</w:t>
      </w:r>
    </w:p>
    <w:p>
      <w:r>
        <w:t>ADC, AVA, AWR, BATRK, BKH, BRX, CPB, CTRE, CWT, IDA, INGR, KRG, NJR, NNN, NWE, OGE, OTTR, POR, SR, SWX</w:t>
      </w:r>
    </w:p>
    <w:p>
      <w:r>
        <w:t>Signal window: September 2023–August 2026 (36 months). These holdings were reconstructed from the locked strategy code and August-end data. They cannot be confirmed against an accurate contemporaneous September Entry 0 because the original committed log contained example content.</w:t>
      </w:r>
    </w:p>
    <w:p>
      <w:r>
        <w:t>Track 2 — September holdings transcribed from frozen prompt file:</w:t>
      </w:r>
    </w:p>
    <w:p>
      <w:r>
        <w:t>PBF, DK, OII, PTEN, AMRX, HAE, LNTH, CHEF, PSMT, MSGS, STGW, CNK, ZD, MTRN, ASH, EAT, ETSY, AMG, AVT, SLAB</w:t>
      </w:r>
    </w:p>
    <w:p>
      <w:r>
        <w:t>Recorded model: GPT-5.6 Sol, Light; run date September 15, 2026; exact time not established in supplied evidence. The prompt file records first valid response with no retry. September Track 1 and Track 2 overlap: 0 names.</w:t>
      </w:r>
    </w:p>
    <w:p>
      <w:r>
        <w:t>Original-log discrepancy: The September 20 monitoring log in commit e5e005b mistakenly retained the instructor example’s momentum holdings and Claude model description. The September 18 strategy-rules file and September 20 strategy-code file specify the 36-month low-volatility methodology; their displayed GitHub histories show no later edits under those filenames. This correction does not rewrite the original commit; the discrepancy should also be disclosed in the project’s AI audit/reflection.</w:t>
      </w:r>
    </w:p>
    <w:p>
      <w:pPr>
        <w:pStyle w:val="Heading1"/>
      </w:pPr>
      <w:r>
        <w:t>CHECKPOINT 1 — September scored; October portfolios (due October 11, 2026)</w:t>
      </w:r>
    </w:p>
    <w:p>
      <w:r>
        <w:t xml:space="preserve">Extension: </w:t>
      </w:r>
      <w:r>
        <w:rPr>
          <w:i/>
        </w:rPr>
        <w:t>panel_returns_2026-09-30.csv</w:t>
      </w:r>
      <w:r>
        <w:t xml:space="preserve">, posted October 5, 2026; 93 months × 200 stocks. SHA-256 verified in the checkpoint notebook: </w:t>
      </w:r>
      <w:r>
        <w:rPr>
          <w:i/>
        </w:rPr>
        <w:t>d9417fdf2892769b1662aeb6a82b13d6f96199416ae8b082977b5d3f43e8acea</w:t>
      </w:r>
      <w:r>
        <w:t>. The notebook uses the first 92 rows for the original January 2022–August 2026 historical backtest and all 93 rows for September evaluation and October selection. A byte-for-byte comparison of the historical rows with the original August file has not been independently documented. Preserve the extension CSV unchanged in GitHub.</w:t>
      </w:r>
    </w:p>
    <w:p>
      <w:r>
        <w:t>Mechanical rerun check: The reconstructed September Track 1 selection is based on the first 92 months, ending August 2026. The September extension reproduces the same reconstructed holdings when its September return row is excluded from the signal. Because the original committed Entry 0 contained instructor-example holdings, a contemporaneous 20-for-20 verification against that original entry is not possible; this is a disclosed limitation, not a claim of a successful original-log match.</w:t>
      </w:r>
    </w:p>
    <w:p>
      <w:pPr>
        <w:pStyle w:val="Heading2"/>
      </w:pPr>
      <w:r>
        <w:t>1. September 2026 performance</w:t>
      </w:r>
    </w:p>
    <w:p>
      <w:r>
        <w:t>Live evaluation uses the September holdings shown above, equal weights and first-live-month turnover of 1.0. Cost = 2 × 0.0010 × 1.0 = 0.0020 (0.20 percentage points) for each track. Benchmark has no cost.</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Measure</w:t>
            </w:r>
          </w:p>
        </w:tc>
        <w:tc>
          <w:tcPr>
            <w:tcW w:type="dxa" w:w="2160"/>
          </w:tcPr>
          <w:p>
            <w:r>
              <w:t>Track 1</w:t>
            </w:r>
          </w:p>
        </w:tc>
        <w:tc>
          <w:tcPr>
            <w:tcW w:type="dxa" w:w="2160"/>
          </w:tcPr>
          <w:p>
            <w:r>
              <w:t>Track 2</w:t>
            </w:r>
          </w:p>
        </w:tc>
        <w:tc>
          <w:tcPr>
            <w:tcW w:type="dxa" w:w="2160"/>
          </w:tcPr>
          <w:p>
            <w:r>
              <w:t>Benchmark</w:t>
            </w:r>
          </w:p>
        </w:tc>
      </w:tr>
      <w:tr>
        <w:tc>
          <w:tcPr>
            <w:tcW w:type="dxa" w:w="2160"/>
          </w:tcPr>
          <w:p>
            <w:r>
              <w:t>Gross return</w:t>
            </w:r>
          </w:p>
        </w:tc>
        <w:tc>
          <w:tcPr>
            <w:tcW w:type="dxa" w:w="2160"/>
          </w:tcPr>
          <w:p>
            <w:r>
              <w:t>-5.24806%</w:t>
            </w:r>
          </w:p>
        </w:tc>
        <w:tc>
          <w:tcPr>
            <w:tcW w:type="dxa" w:w="2160"/>
          </w:tcPr>
          <w:p>
            <w:r>
              <w:t>-0.64280%</w:t>
            </w:r>
          </w:p>
        </w:tc>
        <w:tc>
          <w:tcPr>
            <w:tcW w:type="dxa" w:w="2160"/>
          </w:tcPr>
          <w:p>
            <w:r>
              <w:t>-5.78433%</w:t>
            </w:r>
          </w:p>
        </w:tc>
      </w:tr>
      <w:tr>
        <w:tc>
          <w:tcPr>
            <w:tcW w:type="dxa" w:w="2160"/>
          </w:tcPr>
          <w:p>
            <w:r>
              <w:t>Trading cost (pp)</w:t>
            </w:r>
          </w:p>
        </w:tc>
        <w:tc>
          <w:tcPr>
            <w:tcW w:type="dxa" w:w="2160"/>
          </w:tcPr>
          <w:p>
            <w:r>
              <w:t>0.20000</w:t>
            </w:r>
          </w:p>
        </w:tc>
        <w:tc>
          <w:tcPr>
            <w:tcW w:type="dxa" w:w="2160"/>
          </w:tcPr>
          <w:p>
            <w:r>
              <w:t>0.20000</w:t>
            </w:r>
          </w:p>
        </w:tc>
        <w:tc>
          <w:tcPr>
            <w:tcW w:type="dxa" w:w="2160"/>
          </w:tcPr>
          <w:p>
            <w:r>
              <w:t>0.00000</w:t>
            </w:r>
          </w:p>
        </w:tc>
      </w:tr>
      <w:tr>
        <w:tc>
          <w:tcPr>
            <w:tcW w:type="dxa" w:w="2160"/>
          </w:tcPr>
          <w:p>
            <w:r>
              <w:t>Net return</w:t>
            </w:r>
          </w:p>
        </w:tc>
        <w:tc>
          <w:tcPr>
            <w:tcW w:type="dxa" w:w="2160"/>
          </w:tcPr>
          <w:p>
            <w:r>
              <w:t>-5.44806%</w:t>
            </w:r>
          </w:p>
        </w:tc>
        <w:tc>
          <w:tcPr>
            <w:tcW w:type="dxa" w:w="2160"/>
          </w:tcPr>
          <w:p>
            <w:r>
              <w:t>-0.84280%</w:t>
            </w:r>
          </w:p>
        </w:tc>
        <w:tc>
          <w:tcPr>
            <w:tcW w:type="dxa" w:w="2160"/>
          </w:tcPr>
          <w:p>
            <w:r>
              <w:t>-5.78433%</w:t>
            </w:r>
          </w:p>
        </w:tc>
      </w:tr>
      <w:tr>
        <w:tc>
          <w:tcPr>
            <w:tcW w:type="dxa" w:w="2160"/>
          </w:tcPr>
          <w:p>
            <w:r>
              <w:t>Gap vs benchmark (pp)</w:t>
            </w:r>
          </w:p>
        </w:tc>
        <w:tc>
          <w:tcPr>
            <w:tcW w:type="dxa" w:w="2160"/>
          </w:tcPr>
          <w:p>
            <w:r>
              <w:t>+0.33627</w:t>
            </w:r>
          </w:p>
        </w:tc>
        <w:tc>
          <w:tcPr>
            <w:tcW w:type="dxa" w:w="2160"/>
          </w:tcPr>
          <w:p>
            <w:r>
              <w:t>+4.94153</w:t>
            </w:r>
          </w:p>
        </w:tc>
        <w:tc>
          <w:tcPr>
            <w:tcW w:type="dxa" w:w="2160"/>
          </w:tcPr>
          <w:p>
            <w:r>
              <w:t>0.00000</w:t>
            </w:r>
          </w:p>
        </w:tc>
      </w:tr>
    </w:tbl>
    <w:p>
      <w:pPr>
        <w:pStyle w:val="Heading2"/>
      </w:pPr>
      <w:r>
        <w:t>2. October 2026 holdings (selected using information through September 30)</w:t>
      </w:r>
    </w:p>
    <w:p>
      <w:r>
        <w:t>Track 1 — locked low-volatility strategy, 20 names:</w:t>
      </w:r>
    </w:p>
    <w:p>
      <w:r>
        <w:t>ADC, AVA, AWR, BATRK, BKH, BRX, CTRE, CWT, IDA, INGR, KRG, NJR, NNN, NWE, OGE, OTTR, POR, SBRA, SR, STAG</w:t>
      </w:r>
    </w:p>
    <w:p>
      <w:r>
        <w:t>Signal window: October 2023–September 2026. Names entering: SBRA, STAG. Names exiting: CPB, SWX. One-way name turnover = 0.10; projected October cost = 0.02 percentage points, charged when October is scored, not in September.</w:t>
      </w:r>
    </w:p>
    <w:p>
      <w:r>
        <w:t>Track 2 — first valid October AI output (verbatim):</w:t>
      </w:r>
    </w:p>
    <w:p>
      <w:r>
        <w:t>AMG, AMRX, AVT, BRKR, CHEF, CNK, GAP, HAE, ITGR, MGNI, MSGS, MUR, NEU, PBF, QLYS, QRVO, RGEN, SAIC, SXT, ZD</w:t>
      </w:r>
    </w:p>
    <w:p>
      <w:r>
        <w:t>October Track 2 run: October 8, 2026 at approximately 10:25 AM Central Daylight Time (CDT), as reported by the team. The team confirms the prompt wording was unchanged from September. Model: GPT-5.6 Sol, Light effort. The team reports this was the first response, with no regeneration or retry. Output validation: exactly 20 distinct tickers, all within the 200-stock panel, with no extra prose. Retries: 0.</w:t>
      </w:r>
    </w:p>
    <w:p>
      <w:r>
        <w:t>Protocol disclosure: The team confirms the September 30, 2026 briefing table was provided as an attached pasted Markdown file (</w:t>
      </w:r>
      <w:r>
        <w:rPr>
          <w:i/>
        </w:rPr>
        <w:t>Pasted markdown(8).md</w:t>
      </w:r>
      <w:r>
        <w:t>) rather than pasted directly as inline message text. The same frozen prompt wording was used as in September, without changing its instructions. The attachment method differed from the prescribed inline-table procedure. The run was completed October 8, 2026; this log does not establish whether the assignment required running on the extension-posting date. These deviations are disclosed rather than concealed; do not rerun the valid first output to replace the audit record. Ask the instructor whether further action is required.</w:t>
      </w:r>
    </w:p>
    <w:p>
      <w:pPr>
        <w:pStyle w:val="Heading2"/>
      </w:pPr>
      <w:r>
        <w:t>3. Attribution (four sentences)</w:t>
      </w:r>
    </w:p>
    <w:p>
      <w:r>
        <w:t>In September, Track 1 returned -5.45% net, exceeding the equal-weighted benchmark's -5.78% by 0.34 percentage points, while Track 2 returned -0.84% net and exceeded the benchmark by 4.94 percentage points. The AI portfolio benefited from positive September returns in AMRX (+15.28%) and MTRN (+14.19%), while low-volatility holdings included weaker names such as CPB (-16.26%). The portfolios overlapped in 0 of 20 holdings, which helps explain why their monthly results differed. One live month is not evidence of persistent skill, and neither the locked strategy nor the frozen prompt was changed in response to performance.</w:t>
      </w:r>
    </w:p>
    <w:p>
      <w:r>
        <w:t>Checkpoint 1 GitHub submission date: October 11, 2026. The updated monitoring_log.md, September extension CSV, and completed notebook are scheduled to be committed on this date. Record the new GitHub commit hash once the commit is complete. The September 20 pre-registration commit remains unchanged.</w:t>
      </w:r>
    </w:p>
    <w:p>
      <w:pPr>
        <w:pStyle w:val="Heading1"/>
      </w:pPr>
      <w:r>
        <w:t>CHECKPOINT 2 — due November 8, 2026</w:t>
      </w:r>
    </w:p>
    <w:p>
      <w:r>
        <w:t>Await October extension. Verify standing October Track 1 holdings, score both tracks and the benchmark, choose November portfolios, and record 3–5 attribution sentences.</w:t>
      </w:r>
    </w:p>
    <w:p>
      <w:pPr>
        <w:pStyle w:val="Heading1"/>
      </w:pPr>
      <w:r>
        <w:t>CHECKPOINT 3 — due December 6, 2026</w:t>
      </w:r>
    </w:p>
    <w:p>
      <w:r>
        <w:t>Await November extension. Score standing November holdings and benchmark, complete attribution; no new December holdings are required.</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FINA 4075/5075  •  Project 2 Monitoring Log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