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038B" w14:textId="77777777" w:rsidR="00021767" w:rsidRPr="008B6B50" w:rsidRDefault="00021767" w:rsidP="00021767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Roadmap to the Fusion Energy Economy</w:t>
      </w:r>
    </w:p>
    <w:p w14:paraId="1C01230B" w14:textId="126F71F0" w:rsidR="00021767" w:rsidRPr="00EC05B5" w:rsidRDefault="00021767" w:rsidP="00EC05B5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Stellar Energy Foundation</w:t>
      </w:r>
    </w:p>
    <w:p w14:paraId="72AA242D" w14:textId="77777777" w:rsidR="00021767" w:rsidRPr="008B6B50" w:rsidRDefault="00021767" w:rsidP="008B6B50">
      <w:pPr>
        <w:rPr>
          <w:sz w:val="28"/>
          <w:szCs w:val="28"/>
        </w:rPr>
      </w:pPr>
    </w:p>
    <w:p w14:paraId="3946F1C5" w14:textId="44F33692" w:rsidR="004A1E34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</w:r>
      <w:r w:rsidR="004A1E34">
        <w:rPr>
          <w:sz w:val="28"/>
          <w:szCs w:val="28"/>
        </w:rPr>
        <w:t xml:space="preserve">Fusion </w:t>
      </w:r>
      <w:r w:rsidR="004A2428">
        <w:rPr>
          <w:sz w:val="28"/>
          <w:szCs w:val="28"/>
        </w:rPr>
        <w:t xml:space="preserve">energy is </w:t>
      </w:r>
      <w:r w:rsidR="004A1E34">
        <w:rPr>
          <w:sz w:val="28"/>
          <w:szCs w:val="28"/>
        </w:rPr>
        <w:t>on the horizon.</w:t>
      </w:r>
    </w:p>
    <w:p w14:paraId="6A7A8C1E" w14:textId="77777777" w:rsidR="004A1E34" w:rsidRDefault="004A1E34" w:rsidP="008B6B50">
      <w:pPr>
        <w:rPr>
          <w:sz w:val="28"/>
          <w:szCs w:val="28"/>
        </w:rPr>
      </w:pPr>
    </w:p>
    <w:p w14:paraId="043AC19F" w14:textId="7EE07440" w:rsidR="008B6B50" w:rsidRPr="008B6B50" w:rsidRDefault="004A1E34" w:rsidP="00EC05B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8B6B50" w:rsidRPr="008B6B50">
        <w:rPr>
          <w:sz w:val="28"/>
          <w:szCs w:val="28"/>
        </w:rPr>
        <w:t xml:space="preserve">its tremendous potential as a virtually “perfect” solution to the clean production of energy on a scale that would have the capacity to power the whole world, fusion energy </w:t>
      </w:r>
      <w:r>
        <w:rPr>
          <w:sz w:val="28"/>
          <w:szCs w:val="28"/>
        </w:rPr>
        <w:t xml:space="preserve">suffers from its reputation </w:t>
      </w:r>
      <w:r w:rsidR="008B6B50" w:rsidRPr="008B6B50">
        <w:rPr>
          <w:sz w:val="28"/>
          <w:szCs w:val="28"/>
        </w:rPr>
        <w:t xml:space="preserve">of being </w:t>
      </w:r>
      <w:r>
        <w:rPr>
          <w:sz w:val="28"/>
          <w:szCs w:val="28"/>
        </w:rPr>
        <w:t>‘</w:t>
      </w:r>
      <w:r w:rsidR="008B6B50" w:rsidRPr="008B6B50">
        <w:rPr>
          <w:sz w:val="28"/>
          <w:szCs w:val="28"/>
        </w:rPr>
        <w:t>in the future</w:t>
      </w:r>
      <w:r>
        <w:rPr>
          <w:sz w:val="28"/>
          <w:szCs w:val="28"/>
        </w:rPr>
        <w:t>’</w:t>
      </w:r>
      <w:r w:rsidR="008B6B50" w:rsidRPr="008B6B50">
        <w:rPr>
          <w:sz w:val="28"/>
          <w:szCs w:val="28"/>
        </w:rPr>
        <w:t xml:space="preserve">. </w:t>
      </w:r>
      <w:r>
        <w:rPr>
          <w:sz w:val="28"/>
          <w:szCs w:val="28"/>
        </w:rPr>
        <w:t>However</w:t>
      </w:r>
      <w:r w:rsidR="008B6B50" w:rsidRPr="008B6B50">
        <w:rPr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 w:rsidR="008B6B50" w:rsidRPr="008B6B50">
        <w:rPr>
          <w:sz w:val="28"/>
          <w:szCs w:val="28"/>
        </w:rPr>
        <w:t>mportant breakthroughs in materials and computing power</w:t>
      </w:r>
      <w:r>
        <w:rPr>
          <w:sz w:val="28"/>
          <w:szCs w:val="28"/>
        </w:rPr>
        <w:t xml:space="preserve"> now poise </w:t>
      </w:r>
      <w:r w:rsidR="008B6B50" w:rsidRPr="008B6B50">
        <w:rPr>
          <w:sz w:val="28"/>
          <w:szCs w:val="28"/>
        </w:rPr>
        <w:t xml:space="preserve">fusion energy for an acceleration, which brings it into the realm of </w:t>
      </w:r>
      <w:r>
        <w:rPr>
          <w:sz w:val="28"/>
          <w:szCs w:val="28"/>
        </w:rPr>
        <w:t xml:space="preserve">energy and climate </w:t>
      </w:r>
      <w:r w:rsidR="008B6B50" w:rsidRPr="008B6B50">
        <w:rPr>
          <w:sz w:val="28"/>
          <w:szCs w:val="28"/>
        </w:rPr>
        <w:t>planning today.</w:t>
      </w:r>
    </w:p>
    <w:p w14:paraId="5D229A32" w14:textId="77777777" w:rsidR="008B6B50" w:rsidRPr="008B6B50" w:rsidRDefault="008B6B50" w:rsidP="008B6B50">
      <w:pPr>
        <w:rPr>
          <w:sz w:val="28"/>
          <w:szCs w:val="28"/>
        </w:rPr>
      </w:pPr>
    </w:p>
    <w:p w14:paraId="13825B2A" w14:textId="0F64EAE4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Attend the workshop entit</w:t>
      </w:r>
      <w:r w:rsidR="004A1E34">
        <w:rPr>
          <w:sz w:val="28"/>
          <w:szCs w:val="28"/>
        </w:rPr>
        <w:t>l</w:t>
      </w:r>
      <w:r w:rsidRPr="008B6B50">
        <w:rPr>
          <w:sz w:val="28"/>
          <w:szCs w:val="28"/>
        </w:rPr>
        <w:t xml:space="preserve">ed the </w:t>
      </w:r>
      <w:r w:rsidRPr="008B6B50">
        <w:rPr>
          <w:b/>
          <w:sz w:val="28"/>
          <w:szCs w:val="28"/>
          <w:u w:val="single"/>
        </w:rPr>
        <w:t>Roadmap to the Fusion Energy Economy</w:t>
      </w:r>
      <w:r w:rsidRPr="008B6B50">
        <w:rPr>
          <w:sz w:val="28"/>
          <w:szCs w:val="28"/>
        </w:rPr>
        <w:t xml:space="preserve">, sponsored by the Stellar Energy </w:t>
      </w:r>
      <w:r w:rsidR="004A1E34" w:rsidRPr="008B6B50">
        <w:rPr>
          <w:sz w:val="28"/>
          <w:szCs w:val="28"/>
        </w:rPr>
        <w:t>Foundation, Thursday</w:t>
      </w:r>
      <w:r w:rsidRPr="008B6B50">
        <w:rPr>
          <w:sz w:val="28"/>
          <w:szCs w:val="28"/>
        </w:rPr>
        <w:t>, June 13</w:t>
      </w:r>
      <w:r w:rsidRPr="008B6B50">
        <w:rPr>
          <w:sz w:val="28"/>
          <w:szCs w:val="28"/>
          <w:vertAlign w:val="superscript"/>
        </w:rPr>
        <w:t>th</w:t>
      </w:r>
      <w:r w:rsidRPr="008B6B50">
        <w:rPr>
          <w:sz w:val="28"/>
          <w:szCs w:val="28"/>
        </w:rPr>
        <w:t xml:space="preserve">, at the Flatiron Institute (internal research division of the Simons Foundation), 162 </w:t>
      </w:r>
      <w:r w:rsidR="004A2428">
        <w:rPr>
          <w:sz w:val="28"/>
          <w:szCs w:val="28"/>
        </w:rPr>
        <w:t>5</w:t>
      </w:r>
      <w:r w:rsidR="004A2428" w:rsidRPr="004A2428">
        <w:rPr>
          <w:sz w:val="28"/>
          <w:szCs w:val="28"/>
          <w:vertAlign w:val="superscript"/>
        </w:rPr>
        <w:t>th</w:t>
      </w:r>
      <w:r w:rsidR="004A2428">
        <w:rPr>
          <w:sz w:val="28"/>
          <w:szCs w:val="28"/>
        </w:rPr>
        <w:t xml:space="preserve"> Ave.</w:t>
      </w:r>
      <w:r w:rsidRPr="008B6B50">
        <w:rPr>
          <w:sz w:val="28"/>
          <w:szCs w:val="28"/>
        </w:rPr>
        <w:t xml:space="preserve">, New York </w:t>
      </w:r>
      <w:r w:rsidR="004A1E34" w:rsidRPr="008B6B50">
        <w:rPr>
          <w:sz w:val="28"/>
          <w:szCs w:val="28"/>
        </w:rPr>
        <w:t>City, 8</w:t>
      </w:r>
      <w:r w:rsidRPr="008B6B50">
        <w:rPr>
          <w:sz w:val="28"/>
          <w:szCs w:val="28"/>
        </w:rPr>
        <w:t>am to 1:30pm.     There is no fee to attend and there will be no solicitation of funds.</w:t>
      </w:r>
    </w:p>
    <w:p w14:paraId="0AF01C6C" w14:textId="77777777" w:rsidR="008B6B50" w:rsidRPr="008B6B50" w:rsidRDefault="008B6B50" w:rsidP="008B6B50">
      <w:pPr>
        <w:rPr>
          <w:sz w:val="28"/>
          <w:szCs w:val="28"/>
        </w:rPr>
      </w:pPr>
    </w:p>
    <w:p w14:paraId="387F1D9F" w14:textId="069916E2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Hear representatives of the 25+ commercial companies and the top US National Laborator</w:t>
      </w:r>
      <w:r w:rsidR="004A2428">
        <w:rPr>
          <w:sz w:val="28"/>
          <w:szCs w:val="28"/>
        </w:rPr>
        <w:t>ies</w:t>
      </w:r>
      <w:r w:rsidRPr="008B6B50">
        <w:rPr>
          <w:sz w:val="28"/>
          <w:szCs w:val="28"/>
        </w:rPr>
        <w:t xml:space="preserve"> explain why they are optimistic about achieving technical feasibility for fusion energy in under 10 years!  </w:t>
      </w:r>
    </w:p>
    <w:p w14:paraId="7FA0340D" w14:textId="77777777" w:rsidR="008B6B50" w:rsidRPr="008B6B50" w:rsidRDefault="008B6B50" w:rsidP="008B6B50">
      <w:pPr>
        <w:rPr>
          <w:sz w:val="28"/>
          <w:szCs w:val="28"/>
        </w:rPr>
      </w:pPr>
    </w:p>
    <w:p w14:paraId="08048734" w14:textId="433B71CC" w:rsidR="00962F44" w:rsidRDefault="00962F44" w:rsidP="00962F4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As we start to sketch the cost of future fusion </w:t>
      </w:r>
      <w:r>
        <w:rPr>
          <w:sz w:val="28"/>
          <w:szCs w:val="28"/>
        </w:rPr>
        <w:t>MWs,</w:t>
      </w:r>
      <w:r>
        <w:rPr>
          <w:sz w:val="28"/>
          <w:szCs w:val="28"/>
        </w:rPr>
        <w:t xml:space="preserve"> we want to apply the lessons learned from non-fossil generation, the utilities who purchase it and the customers they serve.</w:t>
      </w:r>
    </w:p>
    <w:p w14:paraId="7E7F00EB" w14:textId="77777777" w:rsidR="00962F44" w:rsidRPr="008B6B50" w:rsidRDefault="00962F44" w:rsidP="00962F44">
      <w:pPr>
        <w:ind w:firstLine="720"/>
        <w:rPr>
          <w:sz w:val="28"/>
          <w:szCs w:val="28"/>
        </w:rPr>
      </w:pPr>
    </w:p>
    <w:p w14:paraId="3FF9C804" w14:textId="3868357F" w:rsidR="008B6B50" w:rsidRDefault="00EC05B5" w:rsidP="00962F4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Join the strategic impact conversation amongst </w:t>
      </w:r>
      <w:r w:rsidRPr="008B6B50">
        <w:rPr>
          <w:sz w:val="28"/>
          <w:szCs w:val="28"/>
        </w:rPr>
        <w:t>commercial investors, philanthropists, government officials</w:t>
      </w:r>
      <w:r>
        <w:rPr>
          <w:sz w:val="28"/>
          <w:szCs w:val="28"/>
        </w:rPr>
        <w:t xml:space="preserve"> and other early investors in fusion energy.</w:t>
      </w:r>
      <w:r w:rsidR="008B6B50" w:rsidRPr="008B6B50">
        <w:rPr>
          <w:sz w:val="28"/>
          <w:szCs w:val="28"/>
        </w:rPr>
        <w:t xml:space="preserve"> </w:t>
      </w:r>
    </w:p>
    <w:p w14:paraId="10D9297F" w14:textId="7619B73D" w:rsidR="00962F44" w:rsidRDefault="00962F44" w:rsidP="00962F44">
      <w:pPr>
        <w:ind w:firstLine="720"/>
        <w:rPr>
          <w:sz w:val="28"/>
          <w:szCs w:val="28"/>
        </w:rPr>
      </w:pPr>
    </w:p>
    <w:p w14:paraId="539791A6" w14:textId="72BBEF98" w:rsidR="00962F44" w:rsidRPr="008B6B50" w:rsidRDefault="00962F44" w:rsidP="00962F44">
      <w:pPr>
        <w:ind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Together we will build fusion energy’s commercial future.</w:t>
      </w:r>
    </w:p>
    <w:p w14:paraId="3DBDEC84" w14:textId="77777777" w:rsidR="00962F44" w:rsidRDefault="00962F44" w:rsidP="003F5D82">
      <w:pPr>
        <w:ind w:firstLine="720"/>
        <w:rPr>
          <w:sz w:val="28"/>
          <w:szCs w:val="28"/>
        </w:rPr>
      </w:pPr>
    </w:p>
    <w:p w14:paraId="76FC3E06" w14:textId="77777777" w:rsidR="008B6B50" w:rsidRPr="008B6B50" w:rsidRDefault="008B6B50" w:rsidP="008B6B50">
      <w:pPr>
        <w:rPr>
          <w:sz w:val="28"/>
          <w:szCs w:val="28"/>
        </w:rPr>
      </w:pPr>
    </w:p>
    <w:p w14:paraId="45E4767F" w14:textId="77777777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Click here for a link to the workshop website:  &lt;&lt; link &gt;&gt;.</w:t>
      </w:r>
    </w:p>
    <w:p w14:paraId="68A2CBF6" w14:textId="77777777" w:rsidR="008B6B50" w:rsidRPr="008B6B50" w:rsidRDefault="008B6B50" w:rsidP="008B6B50">
      <w:pPr>
        <w:rPr>
          <w:sz w:val="28"/>
          <w:szCs w:val="28"/>
        </w:rPr>
      </w:pPr>
    </w:p>
    <w:p w14:paraId="487796CD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  <w:u w:val="single"/>
        </w:rPr>
        <w:t>Workshop Sponsor: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6B50">
        <w:rPr>
          <w:sz w:val="28"/>
          <w:szCs w:val="28"/>
          <w:u w:val="single"/>
        </w:rPr>
        <w:t>Workshop Co-Host:</w:t>
      </w:r>
    </w:p>
    <w:p w14:paraId="2EE108AC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</w:rPr>
        <w:t xml:space="preserve">Stellar Energy Foundation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Fusion Industry Associates</w:t>
      </w:r>
    </w:p>
    <w:p w14:paraId="19373AD7" w14:textId="17CD01AA" w:rsidR="008B6B50" w:rsidRPr="004A1E34" w:rsidRDefault="00962F44" w:rsidP="008B6B50">
      <w:pPr>
        <w:rPr>
          <w:color w:val="0000FF" w:themeColor="hyperlink"/>
          <w:sz w:val="28"/>
          <w:szCs w:val="28"/>
        </w:rPr>
      </w:pPr>
      <w:hyperlink r:id="rId4" w:history="1">
        <w:r w:rsidR="008B6B50" w:rsidRPr="008B6B50">
          <w:rPr>
            <w:rStyle w:val="Hyperlink"/>
            <w:sz w:val="28"/>
            <w:szCs w:val="28"/>
            <w:u w:val="none"/>
          </w:rPr>
          <w:t>www.stellarenergyfoundation.org</w:t>
        </w:r>
      </w:hyperlink>
      <w:r w:rsidR="008B6B50" w:rsidRPr="008B6B50">
        <w:rPr>
          <w:rStyle w:val="Hyperlink"/>
          <w:sz w:val="28"/>
          <w:szCs w:val="28"/>
          <w:u w:val="none"/>
        </w:rPr>
        <w:tab/>
        <w:t>www.fusionindustryassociation.org</w:t>
      </w:r>
    </w:p>
    <w:sectPr w:rsidR="008B6B50" w:rsidRPr="004A1E34" w:rsidSect="0001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7"/>
    <w:rsid w:val="00012F1D"/>
    <w:rsid w:val="00021767"/>
    <w:rsid w:val="003F5D82"/>
    <w:rsid w:val="004A1E34"/>
    <w:rsid w:val="004A2428"/>
    <w:rsid w:val="008B6B50"/>
    <w:rsid w:val="00962F44"/>
    <w:rsid w:val="00C663A4"/>
    <w:rsid w:val="00EC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D0060"/>
  <w14:defaultImageDpi w14:val="300"/>
  <w15:docId w15:val="{AEF8010D-943C-E141-AE49-36F0371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ellarenergy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1626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Domain Associates, LLC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Jane Hotchkiss</cp:lastModifiedBy>
  <cp:revision>2</cp:revision>
  <dcterms:created xsi:type="dcterms:W3CDTF">2019-05-07T20:57:00Z</dcterms:created>
  <dcterms:modified xsi:type="dcterms:W3CDTF">2019-05-07T20:57:00Z</dcterms:modified>
</cp:coreProperties>
</file>