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1AE70" w14:textId="4271ACB0" w:rsidR="00090B84" w:rsidRDefault="00B14AE5">
      <w:r>
        <w:tab/>
      </w:r>
    </w:p>
    <w:p w14:paraId="24D158DD" w14:textId="6E30A389" w:rsidR="00627296" w:rsidRPr="00627296" w:rsidRDefault="00627296" w:rsidP="00627296">
      <w:pPr>
        <w:suppressAutoHyphens/>
        <w:spacing w:line="240" w:lineRule="auto"/>
        <w:jc w:val="center"/>
        <w:rPr>
          <w:rFonts w:eastAsia="Times New Roman"/>
          <w:b/>
          <w:bCs/>
          <w:sz w:val="32"/>
          <w:szCs w:val="32"/>
        </w:rPr>
      </w:pPr>
      <w:r w:rsidRPr="00627296">
        <w:rPr>
          <w:rFonts w:eastAsia="Times New Roman"/>
          <w:b/>
          <w:bCs/>
          <w:sz w:val="32"/>
          <w:szCs w:val="32"/>
        </w:rPr>
        <w:t xml:space="preserve">Roadmap to </w:t>
      </w:r>
      <w:r w:rsidR="00BF7205">
        <w:rPr>
          <w:rFonts w:eastAsia="Times New Roman"/>
          <w:b/>
          <w:bCs/>
          <w:sz w:val="32"/>
          <w:szCs w:val="32"/>
        </w:rPr>
        <w:t>the</w:t>
      </w:r>
      <w:r w:rsidRPr="00627296">
        <w:rPr>
          <w:rFonts w:eastAsia="Times New Roman"/>
          <w:b/>
          <w:bCs/>
          <w:sz w:val="32"/>
          <w:szCs w:val="32"/>
        </w:rPr>
        <w:t xml:space="preserve"> Fusion </w:t>
      </w:r>
      <w:r w:rsidR="003E0989">
        <w:rPr>
          <w:rFonts w:eastAsia="Times New Roman"/>
          <w:b/>
          <w:bCs/>
          <w:sz w:val="32"/>
          <w:szCs w:val="32"/>
        </w:rPr>
        <w:t xml:space="preserve">Energy </w:t>
      </w:r>
      <w:r w:rsidRPr="00627296">
        <w:rPr>
          <w:rFonts w:eastAsia="Times New Roman"/>
          <w:b/>
          <w:bCs/>
          <w:sz w:val="32"/>
          <w:szCs w:val="32"/>
        </w:rPr>
        <w:t>Economy</w:t>
      </w:r>
      <w:r>
        <w:rPr>
          <w:rFonts w:eastAsia="Times New Roman"/>
          <w:b/>
          <w:bCs/>
          <w:sz w:val="32"/>
          <w:szCs w:val="32"/>
        </w:rPr>
        <w:t xml:space="preserve"> </w:t>
      </w:r>
      <w:r w:rsidRPr="00627296">
        <w:rPr>
          <w:rFonts w:eastAsia="Times New Roman"/>
          <w:b/>
          <w:bCs/>
          <w:sz w:val="32"/>
          <w:szCs w:val="32"/>
        </w:rPr>
        <w:t xml:space="preserve">Workshop </w:t>
      </w:r>
    </w:p>
    <w:p w14:paraId="0E4AEB08" w14:textId="77777777" w:rsidR="00627296" w:rsidRPr="00627296" w:rsidRDefault="00627296" w:rsidP="00627296">
      <w:pPr>
        <w:suppressAutoHyphens/>
        <w:spacing w:line="240" w:lineRule="auto"/>
        <w:jc w:val="center"/>
        <w:rPr>
          <w:rFonts w:eastAsia="Times New Roman"/>
          <w:b/>
          <w:bCs/>
          <w:sz w:val="32"/>
          <w:szCs w:val="32"/>
        </w:rPr>
      </w:pPr>
      <w:r w:rsidRPr="00627296">
        <w:rPr>
          <w:rFonts w:eastAsia="Times New Roman"/>
          <w:b/>
          <w:bCs/>
          <w:sz w:val="32"/>
          <w:szCs w:val="32"/>
        </w:rPr>
        <w:t>Thursday June 13, 2019</w:t>
      </w:r>
    </w:p>
    <w:p w14:paraId="6B275617" w14:textId="77777777" w:rsidR="00627296" w:rsidRPr="00627296" w:rsidRDefault="00627296" w:rsidP="00F3714A">
      <w:pPr>
        <w:suppressAutoHyphens/>
        <w:spacing w:line="240" w:lineRule="auto"/>
        <w:jc w:val="center"/>
        <w:rPr>
          <w:rFonts w:eastAsia="Times New Roman"/>
          <w:b/>
          <w:bCs/>
          <w:sz w:val="32"/>
          <w:szCs w:val="32"/>
        </w:rPr>
      </w:pPr>
      <w:r w:rsidRPr="00627296">
        <w:rPr>
          <w:rFonts w:eastAsia="Times New Roman"/>
          <w:b/>
          <w:bCs/>
          <w:sz w:val="32"/>
          <w:szCs w:val="32"/>
        </w:rPr>
        <w:t>Flatiron Institute</w:t>
      </w:r>
    </w:p>
    <w:p w14:paraId="33579E83" w14:textId="29DFCE22" w:rsidR="00627296" w:rsidRDefault="00627296" w:rsidP="00627296">
      <w:pPr>
        <w:suppressAutoHyphens/>
        <w:spacing w:line="240" w:lineRule="auto"/>
        <w:jc w:val="center"/>
        <w:rPr>
          <w:rFonts w:eastAsia="Times New Roman"/>
          <w:b/>
          <w:bCs/>
          <w:sz w:val="32"/>
          <w:szCs w:val="32"/>
        </w:rPr>
      </w:pPr>
      <w:r w:rsidRPr="00627296">
        <w:rPr>
          <w:rFonts w:eastAsia="Times New Roman"/>
          <w:b/>
          <w:bCs/>
          <w:sz w:val="32"/>
          <w:szCs w:val="32"/>
        </w:rPr>
        <w:t>162 Fifth Avenue</w:t>
      </w:r>
      <w:r>
        <w:rPr>
          <w:rFonts w:eastAsia="Times New Roman"/>
          <w:b/>
          <w:bCs/>
          <w:sz w:val="32"/>
          <w:szCs w:val="32"/>
        </w:rPr>
        <w:t xml:space="preserve">, </w:t>
      </w:r>
      <w:r w:rsidRPr="00627296">
        <w:rPr>
          <w:rFonts w:eastAsia="Times New Roman"/>
          <w:b/>
          <w:bCs/>
          <w:sz w:val="32"/>
          <w:szCs w:val="32"/>
        </w:rPr>
        <w:t>New York, NY 10010</w:t>
      </w:r>
    </w:p>
    <w:p w14:paraId="09F3C63F" w14:textId="7E44B383" w:rsidR="00111D22" w:rsidRPr="00111D22" w:rsidRDefault="00111D22" w:rsidP="00627296">
      <w:pPr>
        <w:suppressAutoHyphens/>
        <w:spacing w:line="240" w:lineRule="auto"/>
        <w:jc w:val="center"/>
        <w:rPr>
          <w:rFonts w:eastAsia="Times New Roman"/>
          <w:b/>
          <w:bCs/>
          <w:sz w:val="28"/>
          <w:szCs w:val="28"/>
        </w:rPr>
      </w:pPr>
      <w:r w:rsidRPr="00111D22">
        <w:rPr>
          <w:rFonts w:eastAsia="Times New Roman"/>
          <w:b/>
          <w:bCs/>
          <w:sz w:val="28"/>
          <w:szCs w:val="28"/>
        </w:rPr>
        <w:t xml:space="preserve">(building entrance is on the north side of 21st Street, at the corner </w:t>
      </w:r>
      <w:r>
        <w:rPr>
          <w:rFonts w:eastAsia="Times New Roman"/>
          <w:b/>
          <w:bCs/>
          <w:sz w:val="28"/>
          <w:szCs w:val="28"/>
        </w:rPr>
        <w:t>of Fifth)</w:t>
      </w:r>
    </w:p>
    <w:tbl>
      <w:tblPr>
        <w:tblStyle w:val="TableGrid"/>
        <w:tblpPr w:leftFromText="180" w:rightFromText="180" w:vertAnchor="page" w:horzAnchor="margin" w:tblpY="3722"/>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1705"/>
        <w:gridCol w:w="7200"/>
        <w:gridCol w:w="1800"/>
      </w:tblGrid>
      <w:tr w:rsidR="00627296" w14:paraId="484563F2" w14:textId="77777777" w:rsidTr="00E0192B">
        <w:tc>
          <w:tcPr>
            <w:tcW w:w="1705" w:type="dxa"/>
          </w:tcPr>
          <w:p w14:paraId="57C668F2" w14:textId="77777777" w:rsidR="00627296" w:rsidRDefault="00627296" w:rsidP="00627296">
            <w:r>
              <w:t>8:00-9:00am</w:t>
            </w:r>
          </w:p>
        </w:tc>
        <w:tc>
          <w:tcPr>
            <w:tcW w:w="7200" w:type="dxa"/>
          </w:tcPr>
          <w:p w14:paraId="71B4F94F" w14:textId="77777777" w:rsidR="00627296" w:rsidRDefault="00627296" w:rsidP="00627296">
            <w:r>
              <w:t>Registration &amp; Networking Breakfast</w:t>
            </w:r>
          </w:p>
        </w:tc>
        <w:tc>
          <w:tcPr>
            <w:tcW w:w="1800" w:type="dxa"/>
          </w:tcPr>
          <w:p w14:paraId="46CD2D08" w14:textId="748A3619" w:rsidR="00627296" w:rsidRDefault="00627296" w:rsidP="00060721">
            <w:pPr>
              <w:jc w:val="center"/>
            </w:pPr>
          </w:p>
        </w:tc>
      </w:tr>
      <w:tr w:rsidR="00627296" w14:paraId="6D3807C6" w14:textId="77777777" w:rsidTr="00E0192B">
        <w:tc>
          <w:tcPr>
            <w:tcW w:w="1705" w:type="dxa"/>
          </w:tcPr>
          <w:p w14:paraId="2918252A" w14:textId="77777777" w:rsidR="00627296" w:rsidRDefault="00627296" w:rsidP="00627296"/>
        </w:tc>
        <w:tc>
          <w:tcPr>
            <w:tcW w:w="7200" w:type="dxa"/>
          </w:tcPr>
          <w:p w14:paraId="1E568577" w14:textId="77777777" w:rsidR="00627296" w:rsidRDefault="00627296" w:rsidP="00627296"/>
        </w:tc>
        <w:tc>
          <w:tcPr>
            <w:tcW w:w="1800" w:type="dxa"/>
          </w:tcPr>
          <w:p w14:paraId="784AEB76" w14:textId="77777777" w:rsidR="00627296" w:rsidRDefault="00627296" w:rsidP="00627296"/>
        </w:tc>
      </w:tr>
      <w:tr w:rsidR="00627296" w14:paraId="29372868" w14:textId="77777777" w:rsidTr="00E0192B">
        <w:tc>
          <w:tcPr>
            <w:tcW w:w="1705" w:type="dxa"/>
          </w:tcPr>
          <w:p w14:paraId="198F2527" w14:textId="77777777" w:rsidR="00627296" w:rsidRDefault="00627296" w:rsidP="00627296">
            <w:r>
              <w:t>9:00-9:15am</w:t>
            </w:r>
          </w:p>
        </w:tc>
        <w:tc>
          <w:tcPr>
            <w:tcW w:w="7200" w:type="dxa"/>
          </w:tcPr>
          <w:p w14:paraId="23910423" w14:textId="77777777" w:rsidR="00627296" w:rsidRDefault="00627296" w:rsidP="00627296">
            <w:r>
              <w:t>Welcome</w:t>
            </w:r>
          </w:p>
          <w:p w14:paraId="0D588AAF" w14:textId="1C9F0926" w:rsidR="00627296" w:rsidRDefault="00627296" w:rsidP="00627296">
            <w:pPr>
              <w:pStyle w:val="ListParagraph"/>
              <w:numPr>
                <w:ilvl w:val="0"/>
                <w:numId w:val="1"/>
              </w:numPr>
              <w:ind w:left="525"/>
            </w:pPr>
            <w:r w:rsidRPr="00B14AE5">
              <w:t>Simons Foun</w:t>
            </w:r>
            <w:r w:rsidR="00711362">
              <w:t>dation welcome – [who?]</w:t>
            </w:r>
          </w:p>
          <w:p w14:paraId="18CD187E" w14:textId="77777777" w:rsidR="00627296" w:rsidRDefault="00627296" w:rsidP="00627296">
            <w:pPr>
              <w:pStyle w:val="ListParagraph"/>
              <w:numPr>
                <w:ilvl w:val="0"/>
                <w:numId w:val="1"/>
              </w:numPr>
              <w:ind w:left="525"/>
            </w:pPr>
            <w:r w:rsidRPr="00B14AE5">
              <w:t>Why Fusion, Why Now</w:t>
            </w:r>
            <w:r>
              <w:t>:</w:t>
            </w:r>
            <w:r w:rsidRPr="00B14AE5">
              <w:t xml:space="preserve"> Jesse Treu (Stellar Energy Foundation)</w:t>
            </w:r>
          </w:p>
          <w:p w14:paraId="0F31671A" w14:textId="77777777" w:rsidR="00627296" w:rsidRDefault="00627296" w:rsidP="00627296">
            <w:pPr>
              <w:pStyle w:val="ListParagraph"/>
              <w:numPr>
                <w:ilvl w:val="0"/>
                <w:numId w:val="1"/>
              </w:numPr>
              <w:ind w:left="525"/>
            </w:pPr>
            <w:r w:rsidRPr="00B14AE5">
              <w:t>Role of Industry - Andrew Holland (Fusion Industry Associates)</w:t>
            </w:r>
          </w:p>
        </w:tc>
        <w:tc>
          <w:tcPr>
            <w:tcW w:w="1800" w:type="dxa"/>
          </w:tcPr>
          <w:p w14:paraId="754D154D" w14:textId="77777777" w:rsidR="00627296" w:rsidRDefault="00627296" w:rsidP="00627296"/>
        </w:tc>
      </w:tr>
      <w:tr w:rsidR="00060721" w14:paraId="5E26912C" w14:textId="77777777" w:rsidTr="00E0192B">
        <w:trPr>
          <w:trHeight w:val="148"/>
        </w:trPr>
        <w:tc>
          <w:tcPr>
            <w:tcW w:w="1705" w:type="dxa"/>
          </w:tcPr>
          <w:p w14:paraId="381D1251" w14:textId="77777777" w:rsidR="00060721" w:rsidRDefault="00060721" w:rsidP="00627296"/>
        </w:tc>
        <w:tc>
          <w:tcPr>
            <w:tcW w:w="7200" w:type="dxa"/>
          </w:tcPr>
          <w:p w14:paraId="4E548CCF" w14:textId="77777777" w:rsidR="00060721" w:rsidRPr="00B14AE5" w:rsidRDefault="00060721" w:rsidP="00627296"/>
        </w:tc>
        <w:tc>
          <w:tcPr>
            <w:tcW w:w="1800" w:type="dxa"/>
          </w:tcPr>
          <w:p w14:paraId="1CAAC3CF" w14:textId="77777777" w:rsidR="00060721" w:rsidRDefault="00060721" w:rsidP="00627296"/>
        </w:tc>
      </w:tr>
      <w:tr w:rsidR="00627296" w14:paraId="16788FBE" w14:textId="77777777" w:rsidTr="00E0192B">
        <w:tc>
          <w:tcPr>
            <w:tcW w:w="1705" w:type="dxa"/>
          </w:tcPr>
          <w:p w14:paraId="4415D3F4" w14:textId="77777777" w:rsidR="00627296" w:rsidRDefault="00627296" w:rsidP="00627296">
            <w:r>
              <w:t>9:15-10:30am</w:t>
            </w:r>
          </w:p>
        </w:tc>
        <w:tc>
          <w:tcPr>
            <w:tcW w:w="7200" w:type="dxa"/>
          </w:tcPr>
          <w:p w14:paraId="14711DFF" w14:textId="77777777" w:rsidR="00627296" w:rsidRPr="00B14AE5" w:rsidRDefault="00627296" w:rsidP="00627296">
            <w:r w:rsidRPr="00B14AE5">
              <w:t xml:space="preserve">Technology Enablers </w:t>
            </w:r>
          </w:p>
          <w:p w14:paraId="529877C2" w14:textId="77777777" w:rsidR="00627296" w:rsidRDefault="00627296" w:rsidP="00627296">
            <w:r w:rsidRPr="00B14AE5">
              <w:t>Feasibility of Practical Generation of Electricity</w:t>
            </w:r>
          </w:p>
          <w:p w14:paraId="0E3C98A6" w14:textId="77777777" w:rsidR="00627296" w:rsidRDefault="00627296" w:rsidP="00627296">
            <w:r w:rsidRPr="00B14AE5">
              <w:t>Panelists: CFS, GF, PPPL, U of R, TAE, ARPA-E, Tokomak Energy</w:t>
            </w:r>
          </w:p>
          <w:p w14:paraId="45B8BF1E" w14:textId="77777777" w:rsidR="006C33A2" w:rsidRDefault="006C33A2" w:rsidP="00627296"/>
          <w:p w14:paraId="5B88BF2F" w14:textId="77777777" w:rsidR="006C33A2" w:rsidRDefault="006C33A2" w:rsidP="00627296"/>
          <w:p w14:paraId="3E372930" w14:textId="281B4D63" w:rsidR="006C33A2" w:rsidRDefault="006C33A2" w:rsidP="00627296">
            <w:r w:rsidRPr="006C33A2">
              <w:rPr>
                <w:highlight w:val="green"/>
              </w:rPr>
              <w:t>Fusion energy is closer than many people think.  It should be in the planning agenda for communities and for the electric grid.</w:t>
            </w:r>
          </w:p>
        </w:tc>
        <w:tc>
          <w:tcPr>
            <w:tcW w:w="1800" w:type="dxa"/>
          </w:tcPr>
          <w:p w14:paraId="6533FCDD" w14:textId="77777777" w:rsidR="00627296" w:rsidRDefault="00627296" w:rsidP="00627296"/>
        </w:tc>
      </w:tr>
      <w:tr w:rsidR="00060721" w14:paraId="245BB871" w14:textId="77777777" w:rsidTr="00E0192B">
        <w:tc>
          <w:tcPr>
            <w:tcW w:w="1705" w:type="dxa"/>
          </w:tcPr>
          <w:p w14:paraId="7AEC0C2E" w14:textId="77777777" w:rsidR="00060721" w:rsidRDefault="00060721" w:rsidP="00627296"/>
        </w:tc>
        <w:tc>
          <w:tcPr>
            <w:tcW w:w="7200" w:type="dxa"/>
          </w:tcPr>
          <w:p w14:paraId="4C9C2DA8" w14:textId="77777777" w:rsidR="00060721" w:rsidRPr="00627296" w:rsidRDefault="00060721" w:rsidP="00627296"/>
        </w:tc>
        <w:tc>
          <w:tcPr>
            <w:tcW w:w="1800" w:type="dxa"/>
          </w:tcPr>
          <w:p w14:paraId="1E906412" w14:textId="77777777" w:rsidR="00060721" w:rsidRDefault="00060721" w:rsidP="00627296"/>
        </w:tc>
      </w:tr>
      <w:tr w:rsidR="00627296" w14:paraId="0D437318" w14:textId="77777777" w:rsidTr="00E0192B">
        <w:tc>
          <w:tcPr>
            <w:tcW w:w="1705" w:type="dxa"/>
          </w:tcPr>
          <w:p w14:paraId="2A2F1D41" w14:textId="77777777" w:rsidR="00627296" w:rsidRDefault="00627296" w:rsidP="00627296">
            <w:r>
              <w:t>10:30-11:00am</w:t>
            </w:r>
          </w:p>
        </w:tc>
        <w:tc>
          <w:tcPr>
            <w:tcW w:w="7200" w:type="dxa"/>
          </w:tcPr>
          <w:p w14:paraId="6C82070D" w14:textId="77777777" w:rsidR="00627296" w:rsidRPr="00B14AE5" w:rsidRDefault="00627296" w:rsidP="00627296">
            <w:r w:rsidRPr="00627296">
              <w:t>Break and networking</w:t>
            </w:r>
          </w:p>
        </w:tc>
        <w:tc>
          <w:tcPr>
            <w:tcW w:w="1800" w:type="dxa"/>
          </w:tcPr>
          <w:p w14:paraId="53555FA7" w14:textId="77777777" w:rsidR="00627296" w:rsidRDefault="00627296" w:rsidP="00627296"/>
        </w:tc>
      </w:tr>
      <w:tr w:rsidR="00060721" w14:paraId="13273672" w14:textId="77777777" w:rsidTr="00E0192B">
        <w:tc>
          <w:tcPr>
            <w:tcW w:w="1705" w:type="dxa"/>
          </w:tcPr>
          <w:p w14:paraId="4E5D1D4A" w14:textId="77777777" w:rsidR="00060721" w:rsidRDefault="00060721" w:rsidP="00627296"/>
        </w:tc>
        <w:tc>
          <w:tcPr>
            <w:tcW w:w="7200" w:type="dxa"/>
          </w:tcPr>
          <w:p w14:paraId="65397D9E" w14:textId="77777777" w:rsidR="00060721" w:rsidRPr="00627296" w:rsidRDefault="00060721" w:rsidP="00627296"/>
        </w:tc>
        <w:tc>
          <w:tcPr>
            <w:tcW w:w="1800" w:type="dxa"/>
          </w:tcPr>
          <w:p w14:paraId="6994F927" w14:textId="77777777" w:rsidR="00060721" w:rsidRDefault="00060721" w:rsidP="00627296"/>
        </w:tc>
      </w:tr>
      <w:tr w:rsidR="00627296" w14:paraId="06F3D046" w14:textId="77777777" w:rsidTr="00E0192B">
        <w:tc>
          <w:tcPr>
            <w:tcW w:w="1705" w:type="dxa"/>
          </w:tcPr>
          <w:p w14:paraId="6FA328FF" w14:textId="77777777" w:rsidR="00627296" w:rsidRDefault="00627296" w:rsidP="00627296">
            <w:r>
              <w:t>11:00-11:45a</w:t>
            </w:r>
            <w:bookmarkStart w:id="0" w:name="_GoBack"/>
            <w:bookmarkEnd w:id="0"/>
            <w:r>
              <w:t>m</w:t>
            </w:r>
          </w:p>
        </w:tc>
        <w:tc>
          <w:tcPr>
            <w:tcW w:w="7200" w:type="dxa"/>
          </w:tcPr>
          <w:p w14:paraId="6168B133" w14:textId="535E6792" w:rsidR="00627296" w:rsidRDefault="009F3136" w:rsidP="00627296">
            <w:r>
              <w:t>From Research to Commer</w:t>
            </w:r>
            <w:r w:rsidR="00711362">
              <w:t>cial: economics and cost</w:t>
            </w:r>
          </w:p>
          <w:p w14:paraId="0862E765" w14:textId="77777777" w:rsidR="00627296" w:rsidRDefault="00627296" w:rsidP="00627296">
            <w:pPr>
              <w:pStyle w:val="ListParagraph"/>
              <w:numPr>
                <w:ilvl w:val="0"/>
                <w:numId w:val="2"/>
              </w:numPr>
              <w:ind w:left="608"/>
            </w:pPr>
            <w:r w:rsidRPr="00627296">
              <w:t>Discussion</w:t>
            </w:r>
            <w:r>
              <w:t>:</w:t>
            </w:r>
            <w:r w:rsidRPr="00627296">
              <w:t xml:space="preserve"> what we need to model costs</w:t>
            </w:r>
          </w:p>
          <w:p w14:paraId="3A74843D" w14:textId="77777777" w:rsidR="00627296" w:rsidRDefault="00627296" w:rsidP="00627296">
            <w:pPr>
              <w:pStyle w:val="ListParagraph"/>
              <w:numPr>
                <w:ilvl w:val="0"/>
                <w:numId w:val="2"/>
              </w:numPr>
              <w:ind w:left="608"/>
            </w:pPr>
            <w:r w:rsidRPr="00627296">
              <w:t>What does fusion need to cost to be successful?</w:t>
            </w:r>
          </w:p>
          <w:p w14:paraId="65D69923" w14:textId="77777777" w:rsidR="006C33A2" w:rsidRDefault="006C33A2" w:rsidP="006C33A2"/>
          <w:p w14:paraId="5553B674" w14:textId="74BDB591" w:rsidR="006C33A2" w:rsidRPr="00627296" w:rsidRDefault="006C33A2" w:rsidP="006C33A2">
            <w:r w:rsidRPr="006C33A2">
              <w:rPr>
                <w:highlight w:val="green"/>
              </w:rPr>
              <w:t>While we may not know for sure what fusion energy will cost, there are credible paths to reasonable costs, which make fusion energy a good candidate for a green energy source for the planet.</w:t>
            </w:r>
          </w:p>
        </w:tc>
        <w:tc>
          <w:tcPr>
            <w:tcW w:w="1800" w:type="dxa"/>
          </w:tcPr>
          <w:p w14:paraId="078B52CA" w14:textId="77777777" w:rsidR="00627296" w:rsidRDefault="00627296" w:rsidP="00627296"/>
        </w:tc>
      </w:tr>
      <w:tr w:rsidR="00060721" w14:paraId="3ACD24BB" w14:textId="77777777" w:rsidTr="00E0192B">
        <w:tc>
          <w:tcPr>
            <w:tcW w:w="1705" w:type="dxa"/>
          </w:tcPr>
          <w:p w14:paraId="6AAA4357" w14:textId="77777777" w:rsidR="00060721" w:rsidRDefault="00060721" w:rsidP="00627296"/>
        </w:tc>
        <w:tc>
          <w:tcPr>
            <w:tcW w:w="7200" w:type="dxa"/>
          </w:tcPr>
          <w:p w14:paraId="20E66096" w14:textId="77777777" w:rsidR="00060721" w:rsidRPr="00627296" w:rsidRDefault="00060721" w:rsidP="00627296"/>
        </w:tc>
        <w:tc>
          <w:tcPr>
            <w:tcW w:w="1800" w:type="dxa"/>
          </w:tcPr>
          <w:p w14:paraId="41141742" w14:textId="77777777" w:rsidR="00060721" w:rsidRDefault="00060721" w:rsidP="00627296"/>
        </w:tc>
      </w:tr>
      <w:tr w:rsidR="00627296" w14:paraId="3D29B2EE" w14:textId="77777777" w:rsidTr="00E0192B">
        <w:tc>
          <w:tcPr>
            <w:tcW w:w="1705" w:type="dxa"/>
          </w:tcPr>
          <w:p w14:paraId="5289CC72" w14:textId="77777777" w:rsidR="00627296" w:rsidRDefault="00627296" w:rsidP="00627296">
            <w:r>
              <w:t>11:45-12:30pm</w:t>
            </w:r>
          </w:p>
        </w:tc>
        <w:tc>
          <w:tcPr>
            <w:tcW w:w="7200" w:type="dxa"/>
          </w:tcPr>
          <w:p w14:paraId="0B75020A" w14:textId="77777777" w:rsidR="00627296" w:rsidRDefault="00627296" w:rsidP="00627296">
            <w:r w:rsidRPr="00627296">
              <w:t xml:space="preserve">Funding: Public, Private, </w:t>
            </w:r>
            <w:r>
              <w:t>&amp;</w:t>
            </w:r>
            <w:r w:rsidRPr="00627296">
              <w:t xml:space="preserve"> Philanthropic Partnerships</w:t>
            </w:r>
          </w:p>
          <w:p w14:paraId="2CEB846C" w14:textId="77777777" w:rsidR="00627296" w:rsidRDefault="00627296" w:rsidP="00627296">
            <w:r w:rsidRPr="00627296">
              <w:t>Panelists: Venture Capital, Wall Street, Non-profit, Public Sector</w:t>
            </w:r>
          </w:p>
          <w:p w14:paraId="6243E9BD" w14:textId="77777777" w:rsidR="006C33A2" w:rsidRDefault="006C33A2" w:rsidP="00627296"/>
          <w:p w14:paraId="22DBFE32" w14:textId="53505D88" w:rsidR="006C33A2" w:rsidRPr="00627296" w:rsidRDefault="006C33A2" w:rsidP="00627296">
            <w:r w:rsidRPr="006C33A2">
              <w:rPr>
                <w:highlight w:val="green"/>
              </w:rPr>
              <w:t>While many investors, donors and even government funders may currently think fusion energy is “too far away”, now is the time to start paying attention to what will likely be exciting breakthroughs in 5-7 years.  There are reasonable pathways to excellent returns for investors</w:t>
            </w:r>
            <w:proofErr w:type="gramStart"/>
            <w:r w:rsidRPr="006C33A2">
              <w:rPr>
                <w:highlight w:val="green"/>
              </w:rPr>
              <w:t>;  governments</w:t>
            </w:r>
            <w:proofErr w:type="gramEnd"/>
            <w:r w:rsidRPr="006C33A2">
              <w:rPr>
                <w:highlight w:val="green"/>
              </w:rPr>
              <w:t xml:space="preserve"> and philanthropists should find fusion energy an attractive and rewarding venue.</w:t>
            </w:r>
          </w:p>
        </w:tc>
        <w:tc>
          <w:tcPr>
            <w:tcW w:w="1800" w:type="dxa"/>
          </w:tcPr>
          <w:p w14:paraId="6CB37F5B" w14:textId="77777777" w:rsidR="00627296" w:rsidRDefault="00627296" w:rsidP="00627296"/>
        </w:tc>
      </w:tr>
      <w:tr w:rsidR="00060721" w14:paraId="284F3792" w14:textId="77777777" w:rsidTr="00E0192B">
        <w:tc>
          <w:tcPr>
            <w:tcW w:w="1705" w:type="dxa"/>
          </w:tcPr>
          <w:p w14:paraId="5F476BFF" w14:textId="77777777" w:rsidR="00060721" w:rsidRDefault="00060721" w:rsidP="00627296"/>
        </w:tc>
        <w:tc>
          <w:tcPr>
            <w:tcW w:w="7200" w:type="dxa"/>
          </w:tcPr>
          <w:p w14:paraId="52070F9C" w14:textId="77777777" w:rsidR="00060721" w:rsidRDefault="00060721" w:rsidP="00627296"/>
        </w:tc>
        <w:tc>
          <w:tcPr>
            <w:tcW w:w="1800" w:type="dxa"/>
          </w:tcPr>
          <w:p w14:paraId="73EEB97F" w14:textId="77777777" w:rsidR="00060721" w:rsidRDefault="00060721" w:rsidP="00627296"/>
        </w:tc>
      </w:tr>
      <w:tr w:rsidR="00627296" w14:paraId="65476366" w14:textId="77777777" w:rsidTr="00E0192B">
        <w:tc>
          <w:tcPr>
            <w:tcW w:w="1705" w:type="dxa"/>
          </w:tcPr>
          <w:p w14:paraId="03C22B75" w14:textId="303D1B2C" w:rsidR="00627296" w:rsidRDefault="00627296" w:rsidP="00627296">
            <w:r>
              <w:t>12:30-</w:t>
            </w:r>
            <w:r w:rsidR="003E0989">
              <w:t>1:30pm</w:t>
            </w:r>
          </w:p>
        </w:tc>
        <w:tc>
          <w:tcPr>
            <w:tcW w:w="7200" w:type="dxa"/>
          </w:tcPr>
          <w:p w14:paraId="492C533A" w14:textId="69A248DE" w:rsidR="00FF33CD" w:rsidRPr="003E0989" w:rsidRDefault="003E0989" w:rsidP="003E0989">
            <w:r w:rsidRPr="003E0989">
              <w:t>Lunch</w:t>
            </w:r>
            <w:r>
              <w:t xml:space="preserve"> and</w:t>
            </w:r>
            <w:r w:rsidRPr="003E0989">
              <w:t xml:space="preserve"> Conclusion of </w:t>
            </w:r>
            <w:r>
              <w:t>F</w:t>
            </w:r>
            <w:r w:rsidRPr="003E0989">
              <w:t xml:space="preserve">ormal </w:t>
            </w:r>
            <w:r>
              <w:t>S</w:t>
            </w:r>
            <w:r w:rsidRPr="003E0989">
              <w:t>essions</w:t>
            </w:r>
          </w:p>
          <w:p w14:paraId="4B09D68F" w14:textId="4265354D" w:rsidR="00627296" w:rsidRPr="00627296" w:rsidRDefault="00627296" w:rsidP="00627296"/>
        </w:tc>
        <w:tc>
          <w:tcPr>
            <w:tcW w:w="1800" w:type="dxa"/>
          </w:tcPr>
          <w:p w14:paraId="5379087C" w14:textId="77777777" w:rsidR="00627296" w:rsidRDefault="00627296" w:rsidP="00627296"/>
        </w:tc>
      </w:tr>
      <w:tr w:rsidR="00E0192B" w14:paraId="7D7187A2" w14:textId="77777777" w:rsidTr="00E0192B">
        <w:tc>
          <w:tcPr>
            <w:tcW w:w="1705" w:type="dxa"/>
          </w:tcPr>
          <w:p w14:paraId="0EA24842" w14:textId="68015C73" w:rsidR="00E0192B" w:rsidRDefault="00E0192B" w:rsidP="00627296">
            <w:r>
              <w:t>1:30-3:00pm</w:t>
            </w:r>
          </w:p>
        </w:tc>
        <w:tc>
          <w:tcPr>
            <w:tcW w:w="7200" w:type="dxa"/>
          </w:tcPr>
          <w:p w14:paraId="08E329F9" w14:textId="7D6EB51A" w:rsidR="00E0192B" w:rsidRDefault="00E0192B" w:rsidP="00E0192B">
            <w:pPr>
              <w:rPr>
                <w:rFonts w:eastAsia="Times New Roman"/>
              </w:rPr>
            </w:pPr>
            <w:r>
              <w:rPr>
                <w:rFonts w:eastAsia="Times New Roman"/>
              </w:rPr>
              <w:t>Facility remains available for informal breakout sessions and networking.</w:t>
            </w:r>
          </w:p>
          <w:p w14:paraId="02BAB6C4" w14:textId="77777777" w:rsidR="00E0192B" w:rsidRPr="003E0989" w:rsidRDefault="00E0192B" w:rsidP="003E0989"/>
        </w:tc>
        <w:tc>
          <w:tcPr>
            <w:tcW w:w="1800" w:type="dxa"/>
          </w:tcPr>
          <w:p w14:paraId="500225D0" w14:textId="77777777" w:rsidR="00E0192B" w:rsidRDefault="00E0192B" w:rsidP="00627296"/>
        </w:tc>
      </w:tr>
    </w:tbl>
    <w:p w14:paraId="0FF87324" w14:textId="5A8CF0EF" w:rsidR="00627296" w:rsidRDefault="00627296" w:rsidP="00627296">
      <w:pPr>
        <w:suppressAutoHyphens/>
        <w:spacing w:line="240" w:lineRule="auto"/>
        <w:jc w:val="center"/>
      </w:pPr>
      <w:r w:rsidRPr="00627296">
        <w:rPr>
          <w:rFonts w:eastAsia="Times New Roman"/>
          <w:b/>
          <w:bCs/>
          <w:sz w:val="32"/>
          <w:szCs w:val="32"/>
        </w:rPr>
        <w:t>8:00 A</w:t>
      </w:r>
      <w:r w:rsidR="003E0989">
        <w:rPr>
          <w:rFonts w:eastAsia="Times New Roman"/>
          <w:b/>
          <w:bCs/>
          <w:sz w:val="32"/>
          <w:szCs w:val="32"/>
        </w:rPr>
        <w:t>.</w:t>
      </w:r>
      <w:r w:rsidRPr="00627296">
        <w:rPr>
          <w:rFonts w:eastAsia="Times New Roman"/>
          <w:b/>
          <w:bCs/>
          <w:sz w:val="32"/>
          <w:szCs w:val="32"/>
        </w:rPr>
        <w:t>M</w:t>
      </w:r>
      <w:r w:rsidR="003E0989">
        <w:rPr>
          <w:rFonts w:eastAsia="Times New Roman"/>
          <w:b/>
          <w:bCs/>
          <w:sz w:val="32"/>
          <w:szCs w:val="32"/>
        </w:rPr>
        <w:t>.</w:t>
      </w:r>
      <w:r w:rsidRPr="00627296">
        <w:rPr>
          <w:rFonts w:eastAsia="Times New Roman"/>
          <w:b/>
          <w:bCs/>
          <w:sz w:val="32"/>
          <w:szCs w:val="32"/>
        </w:rPr>
        <w:t xml:space="preserve"> – 1:30 P</w:t>
      </w:r>
      <w:r w:rsidR="003E0989">
        <w:rPr>
          <w:rFonts w:eastAsia="Times New Roman"/>
          <w:b/>
          <w:bCs/>
          <w:sz w:val="32"/>
          <w:szCs w:val="32"/>
        </w:rPr>
        <w:t>.</w:t>
      </w:r>
      <w:r w:rsidRPr="00627296">
        <w:rPr>
          <w:rFonts w:eastAsia="Times New Roman"/>
          <w:b/>
          <w:bCs/>
          <w:sz w:val="32"/>
          <w:szCs w:val="32"/>
        </w:rPr>
        <w:t>M</w:t>
      </w:r>
      <w:r w:rsidR="003E0989">
        <w:rPr>
          <w:rFonts w:eastAsia="Times New Roman"/>
          <w:b/>
          <w:bCs/>
          <w:sz w:val="32"/>
          <w:szCs w:val="32"/>
        </w:rPr>
        <w:t>.</w:t>
      </w:r>
    </w:p>
    <w:sectPr w:rsidR="00627296" w:rsidSect="003E0989">
      <w:pgSz w:w="12240" w:h="15840" w:code="1"/>
      <w:pgMar w:top="576"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60027"/>
    <w:multiLevelType w:val="hybridMultilevel"/>
    <w:tmpl w:val="2B1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F586F"/>
    <w:multiLevelType w:val="hybridMultilevel"/>
    <w:tmpl w:val="BAA4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AE5"/>
    <w:rsid w:val="00060721"/>
    <w:rsid w:val="00090B84"/>
    <w:rsid w:val="00111D22"/>
    <w:rsid w:val="00175D62"/>
    <w:rsid w:val="00290E51"/>
    <w:rsid w:val="003E0989"/>
    <w:rsid w:val="00627296"/>
    <w:rsid w:val="006C33A2"/>
    <w:rsid w:val="00711362"/>
    <w:rsid w:val="00862278"/>
    <w:rsid w:val="009F3136"/>
    <w:rsid w:val="00A95413"/>
    <w:rsid w:val="00B14AE5"/>
    <w:rsid w:val="00BF7205"/>
    <w:rsid w:val="00E0192B"/>
    <w:rsid w:val="00E1686C"/>
    <w:rsid w:val="00F3714A"/>
    <w:rsid w:val="00F65C2E"/>
    <w:rsid w:val="00FF3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9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AE5"/>
    <w:pPr>
      <w:ind w:left="720"/>
      <w:contextualSpacing/>
    </w:pPr>
  </w:style>
  <w:style w:type="character" w:customStyle="1" w:styleId="xapple-tab-span">
    <w:name w:val="x_apple-tab-span"/>
    <w:basedOn w:val="DefaultParagraphFont"/>
    <w:rsid w:val="00E019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AE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AE5"/>
    <w:pPr>
      <w:ind w:left="720"/>
      <w:contextualSpacing/>
    </w:pPr>
  </w:style>
  <w:style w:type="character" w:customStyle="1" w:styleId="xapple-tab-span">
    <w:name w:val="x_apple-tab-span"/>
    <w:basedOn w:val="DefaultParagraphFont"/>
    <w:rsid w:val="00E01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9314">
      <w:bodyDiv w:val="1"/>
      <w:marLeft w:val="0"/>
      <w:marRight w:val="0"/>
      <w:marTop w:val="0"/>
      <w:marBottom w:val="0"/>
      <w:divBdr>
        <w:top w:val="none" w:sz="0" w:space="0" w:color="auto"/>
        <w:left w:val="none" w:sz="0" w:space="0" w:color="auto"/>
        <w:bottom w:val="none" w:sz="0" w:space="0" w:color="auto"/>
        <w:right w:val="none" w:sz="0" w:space="0" w:color="auto"/>
      </w:divBdr>
    </w:div>
    <w:div w:id="332874316">
      <w:bodyDiv w:val="1"/>
      <w:marLeft w:val="0"/>
      <w:marRight w:val="0"/>
      <w:marTop w:val="0"/>
      <w:marBottom w:val="0"/>
      <w:divBdr>
        <w:top w:val="none" w:sz="0" w:space="0" w:color="auto"/>
        <w:left w:val="none" w:sz="0" w:space="0" w:color="auto"/>
        <w:bottom w:val="none" w:sz="0" w:space="0" w:color="auto"/>
        <w:right w:val="none" w:sz="0" w:space="0" w:color="auto"/>
      </w:divBdr>
    </w:div>
    <w:div w:id="504327803">
      <w:bodyDiv w:val="1"/>
      <w:marLeft w:val="0"/>
      <w:marRight w:val="0"/>
      <w:marTop w:val="0"/>
      <w:marBottom w:val="0"/>
      <w:divBdr>
        <w:top w:val="none" w:sz="0" w:space="0" w:color="auto"/>
        <w:left w:val="none" w:sz="0" w:space="0" w:color="auto"/>
        <w:bottom w:val="none" w:sz="0" w:space="0" w:color="auto"/>
        <w:right w:val="none" w:sz="0" w:space="0" w:color="auto"/>
      </w:divBdr>
    </w:div>
    <w:div w:id="1499342124">
      <w:bodyDiv w:val="1"/>
      <w:marLeft w:val="0"/>
      <w:marRight w:val="0"/>
      <w:marTop w:val="0"/>
      <w:marBottom w:val="0"/>
      <w:divBdr>
        <w:top w:val="none" w:sz="0" w:space="0" w:color="auto"/>
        <w:left w:val="none" w:sz="0" w:space="0" w:color="auto"/>
        <w:bottom w:val="none" w:sz="0" w:space="0" w:color="auto"/>
        <w:right w:val="none" w:sz="0" w:space="0" w:color="auto"/>
      </w:divBdr>
    </w:div>
    <w:div w:id="2015834327">
      <w:bodyDiv w:val="1"/>
      <w:marLeft w:val="0"/>
      <w:marRight w:val="0"/>
      <w:marTop w:val="0"/>
      <w:marBottom w:val="0"/>
      <w:divBdr>
        <w:top w:val="none" w:sz="0" w:space="0" w:color="auto"/>
        <w:left w:val="none" w:sz="0" w:space="0" w:color="auto"/>
        <w:bottom w:val="none" w:sz="0" w:space="0" w:color="auto"/>
        <w:right w:val="none" w:sz="0" w:space="0" w:color="auto"/>
      </w:divBdr>
    </w:div>
    <w:div w:id="21303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1533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Fortini</dc:creator>
  <cp:keywords/>
  <dc:description/>
  <cp:lastModifiedBy>Jesse Treu</cp:lastModifiedBy>
  <cp:revision>3</cp:revision>
  <dcterms:created xsi:type="dcterms:W3CDTF">2019-05-07T21:27:00Z</dcterms:created>
  <dcterms:modified xsi:type="dcterms:W3CDTF">2019-05-07T21:32:00Z</dcterms:modified>
</cp:coreProperties>
</file>