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E6581A">
      <w:pPr>
        <w:spacing w:before="312" w:beforeLines="100" w:after="312" w:afterLines="100" w:line="480" w:lineRule="auto"/>
        <w:jc w:val="center"/>
        <w:rPr>
          <w:rFonts w:hint="eastAsia" w:ascii="仿宋" w:hAnsi="仿宋"/>
          <w:b/>
          <w:sz w:val="28"/>
          <w:szCs w:val="40"/>
        </w:rPr>
      </w:pPr>
    </w:p>
    <w:p w14:paraId="77CEA333">
      <w:pPr>
        <w:spacing w:before="312" w:beforeLines="100" w:after="312" w:afterLines="100" w:line="480" w:lineRule="auto"/>
        <w:jc w:val="center"/>
        <w:rPr>
          <w:rFonts w:hint="eastAsia" w:ascii="仿宋" w:hAnsi="仿宋"/>
          <w:b/>
          <w:sz w:val="28"/>
          <w:szCs w:val="40"/>
        </w:rPr>
      </w:pPr>
    </w:p>
    <w:p w14:paraId="4D57DFDA">
      <w:pPr>
        <w:spacing w:before="312" w:beforeLines="100" w:after="312" w:afterLines="100" w:line="480" w:lineRule="auto"/>
        <w:jc w:val="center"/>
        <w:rPr>
          <w:rFonts w:hint="eastAsia" w:ascii="仿宋" w:hAnsi="仿宋"/>
          <w:b/>
          <w:sz w:val="28"/>
          <w:szCs w:val="40"/>
        </w:rPr>
      </w:pPr>
    </w:p>
    <w:p w14:paraId="3F337FA5">
      <w:pPr>
        <w:pStyle w:val="13"/>
        <w:spacing w:after="0" w:line="560" w:lineRule="exact"/>
        <w:ind w:left="0"/>
        <w:jc w:val="center"/>
        <w:rPr>
          <w:rFonts w:hint="eastAsia" w:ascii="仿宋" w:hAnsi="仿宋"/>
          <w:b/>
          <w:sz w:val="40"/>
          <w:szCs w:val="40"/>
        </w:rPr>
      </w:pPr>
      <w:r>
        <w:rPr>
          <w:rFonts w:hint="eastAsia" w:ascii="仿宋" w:hAnsi="仿宋"/>
          <w:kern w:val="0"/>
          <w:sz w:val="40"/>
          <w:szCs w:val="40"/>
        </w:rPr>
        <w:t>5</w:t>
      </w:r>
      <w:r>
        <w:rPr>
          <w:rFonts w:ascii="仿宋" w:hAnsi="仿宋"/>
          <w:kern w:val="0"/>
          <w:sz w:val="40"/>
          <w:szCs w:val="40"/>
        </w:rPr>
        <w:t>G</w:t>
      </w:r>
      <w:r>
        <w:rPr>
          <w:rFonts w:hint="eastAsia" w:ascii="仿宋" w:hAnsi="仿宋"/>
          <w:kern w:val="0"/>
          <w:sz w:val="40"/>
          <w:szCs w:val="40"/>
        </w:rPr>
        <w:t>行业应用安全风险评估报告</w:t>
      </w:r>
    </w:p>
    <w:p w14:paraId="35B4A16D">
      <w:pPr>
        <w:spacing w:before="312" w:beforeLines="100" w:after="312" w:afterLines="100" w:line="480" w:lineRule="auto"/>
        <w:jc w:val="center"/>
        <w:rPr>
          <w:rFonts w:hint="eastAsia" w:ascii="仿宋" w:hAnsi="仿宋"/>
          <w:b/>
          <w:sz w:val="28"/>
          <w:szCs w:val="40"/>
        </w:rPr>
      </w:pPr>
    </w:p>
    <w:p w14:paraId="6DA1AD2F">
      <w:pPr>
        <w:spacing w:before="312" w:beforeLines="100" w:after="312" w:afterLines="100" w:line="480" w:lineRule="auto"/>
        <w:jc w:val="center"/>
        <w:rPr>
          <w:rFonts w:hint="eastAsia" w:hAnsi="宋体"/>
          <w:b/>
          <w:sz w:val="28"/>
          <w:szCs w:val="40"/>
        </w:rPr>
      </w:pPr>
    </w:p>
    <w:p w14:paraId="6E7DD510">
      <w:pPr>
        <w:spacing w:before="312" w:beforeLines="100" w:after="312" w:afterLines="100" w:line="480" w:lineRule="auto"/>
        <w:jc w:val="center"/>
        <w:rPr>
          <w:rFonts w:hint="eastAsia" w:ascii="仿宋_GB2312" w:hAnsi="宋体" w:eastAsia="仿宋_GB2312"/>
          <w:b/>
          <w:sz w:val="36"/>
          <w:szCs w:val="36"/>
        </w:rPr>
      </w:pPr>
      <w:r>
        <w:rPr>
          <w:rFonts w:hint="eastAsia" w:ascii="仿宋" w:hAnsi="仿宋"/>
          <w:b/>
          <w:sz w:val="32"/>
          <w:szCs w:val="32"/>
        </w:rPr>
        <w:t>应用名称：</w:t>
      </w:r>
      <w:r>
        <w:rPr>
          <w:rFonts w:hint="eastAsia" w:ascii="仿宋_GB2312" w:hAnsi="仿宋" w:eastAsia="仿宋_GB2312"/>
          <w:b/>
          <w:sz w:val="36"/>
          <w:szCs w:val="36"/>
        </w:rPr>
        <w:t>神华国华广投（北海）发电有限责任公司5G专网项目</w:t>
      </w:r>
    </w:p>
    <w:p w14:paraId="6C63C3B7">
      <w:pPr>
        <w:spacing w:before="312" w:beforeLines="100" w:after="312" w:afterLines="100" w:line="480" w:lineRule="auto"/>
        <w:jc w:val="center"/>
        <w:rPr>
          <w:rFonts w:hint="eastAsia" w:hAnsi="宋体"/>
          <w:b/>
          <w:sz w:val="32"/>
          <w:szCs w:val="32"/>
        </w:rPr>
      </w:pPr>
    </w:p>
    <w:p w14:paraId="4A583BE4">
      <w:pPr>
        <w:spacing w:before="312" w:beforeLines="100" w:after="312" w:afterLines="100" w:line="480" w:lineRule="auto"/>
        <w:jc w:val="center"/>
        <w:rPr>
          <w:rFonts w:hint="eastAsia" w:hAnsi="宋体"/>
          <w:b/>
          <w:sz w:val="32"/>
          <w:szCs w:val="32"/>
        </w:rPr>
      </w:pPr>
    </w:p>
    <w:p w14:paraId="35FE6FC6">
      <w:pPr>
        <w:spacing w:before="312" w:beforeLines="100" w:after="312" w:afterLines="100" w:line="480" w:lineRule="auto"/>
        <w:jc w:val="center"/>
        <w:rPr>
          <w:rFonts w:hint="eastAsia" w:hAnsi="宋体"/>
          <w:b/>
          <w:sz w:val="32"/>
          <w:szCs w:val="32"/>
        </w:rPr>
      </w:pPr>
    </w:p>
    <w:p w14:paraId="7D12BF84">
      <w:pPr>
        <w:jc w:val="center"/>
        <w:rPr>
          <w:rFonts w:hint="eastAsia" w:ascii="仿宋" w:hAnsi="仿宋"/>
          <w:b/>
          <w:sz w:val="32"/>
          <w:szCs w:val="32"/>
        </w:rPr>
      </w:pPr>
      <w:r>
        <w:rPr>
          <w:rFonts w:hint="eastAsia" w:ascii="仿宋" w:hAnsi="仿宋"/>
          <w:b/>
          <w:sz w:val="32"/>
          <w:szCs w:val="32"/>
        </w:rPr>
        <w:t>中国移动通信集团广西有限公司</w:t>
      </w:r>
    </w:p>
    <w:p w14:paraId="534A1AD2">
      <w:pPr>
        <w:jc w:val="center"/>
        <w:rPr>
          <w:rFonts w:hint="eastAsia" w:ascii="仿宋" w:hAnsi="仿宋"/>
          <w:b/>
          <w:sz w:val="32"/>
          <w:szCs w:val="32"/>
        </w:rPr>
      </w:pPr>
      <w:r>
        <w:rPr>
          <w:rFonts w:ascii="仿宋" w:hAnsi="仿宋"/>
          <w:b/>
          <w:sz w:val="32"/>
          <w:szCs w:val="32"/>
        </w:rPr>
        <w:t>20</w:t>
      </w:r>
      <w:r>
        <w:rPr>
          <w:rFonts w:hint="eastAsia" w:ascii="仿宋" w:hAnsi="仿宋"/>
          <w:b/>
          <w:sz w:val="32"/>
          <w:szCs w:val="32"/>
        </w:rPr>
        <w:t>2</w:t>
      </w:r>
      <w:r>
        <w:rPr>
          <w:rFonts w:ascii="仿宋" w:hAnsi="仿宋"/>
          <w:b/>
          <w:sz w:val="32"/>
          <w:szCs w:val="32"/>
        </w:rPr>
        <w:t>3</w:t>
      </w:r>
      <w:r>
        <w:rPr>
          <w:rFonts w:hint="eastAsia" w:ascii="仿宋" w:hAnsi="仿宋"/>
          <w:b/>
          <w:sz w:val="32"/>
          <w:szCs w:val="32"/>
        </w:rPr>
        <w:t>年</w:t>
      </w:r>
      <w:r>
        <w:rPr>
          <w:rFonts w:ascii="仿宋" w:hAnsi="仿宋"/>
          <w:b/>
          <w:sz w:val="32"/>
          <w:szCs w:val="32"/>
        </w:rPr>
        <w:t>8</w:t>
      </w:r>
      <w:r>
        <w:rPr>
          <w:rFonts w:hint="eastAsia" w:ascii="仿宋" w:hAnsi="仿宋"/>
          <w:b/>
          <w:sz w:val="32"/>
          <w:szCs w:val="32"/>
        </w:rPr>
        <w:t>月</w:t>
      </w:r>
    </w:p>
    <w:sdt>
      <w:sdtPr>
        <w:rPr>
          <w:rFonts w:ascii="Times New Roman" w:hAnsi="Times New Roman" w:eastAsia="宋体" w:cs="Times New Roman"/>
          <w:color w:val="auto"/>
          <w:kern w:val="2"/>
          <w:sz w:val="20"/>
          <w:szCs w:val="22"/>
          <w:lang w:val="zh-CN"/>
        </w:rPr>
        <w:id w:val="-237861949"/>
        <w:docPartObj>
          <w:docPartGallery w:val="Table of Contents"/>
          <w:docPartUnique/>
        </w:docPartObj>
      </w:sdtPr>
      <w:sdtEndPr>
        <w:rPr>
          <w:rFonts w:ascii="Times New Roman" w:hAnsi="Times New Roman" w:eastAsia="仿宋" w:cs="Times New Roman"/>
          <w:b/>
          <w:bCs/>
          <w:color w:val="auto"/>
          <w:kern w:val="2"/>
          <w:sz w:val="20"/>
          <w:szCs w:val="22"/>
          <w:lang w:val="zh-CN"/>
        </w:rPr>
      </w:sdtEndPr>
      <w:sdtContent>
        <w:p w14:paraId="5CF3CB78">
          <w:pPr>
            <w:pStyle w:val="46"/>
            <w:pageBreakBefore/>
            <w:jc w:val="center"/>
            <w:rPr>
              <w:b/>
              <w:color w:val="auto"/>
              <w:sz w:val="36"/>
              <w:szCs w:val="28"/>
            </w:rPr>
          </w:pPr>
          <w:r>
            <w:rPr>
              <w:b/>
              <w:color w:val="auto"/>
              <w:sz w:val="36"/>
              <w:szCs w:val="28"/>
              <w:lang w:val="zh-CN"/>
            </w:rPr>
            <w:t>目录</w:t>
          </w:r>
        </w:p>
        <w:p w14:paraId="0FD1AAFD">
          <w:pPr>
            <w:pStyle w:val="17"/>
            <w:tabs>
              <w:tab w:val="left" w:pos="420"/>
              <w:tab w:val="right" w:leader="dot" w:pos="8810"/>
            </w:tabs>
            <w:rPr>
              <w:rFonts w:asciiTheme="minorHAnsi" w:hAnsiTheme="minorHAnsi" w:eastAsiaTheme="minorEastAsia" w:cstheme="minorBidi"/>
              <w:szCs w:val="22"/>
              <w14:ligatures w14:val="standardContextual"/>
            </w:rPr>
          </w:pPr>
          <w:r>
            <w:rPr>
              <w:sz w:val="20"/>
              <w:szCs w:val="22"/>
            </w:rPr>
            <w:fldChar w:fldCharType="begin"/>
          </w:r>
          <w:r>
            <w:rPr>
              <w:sz w:val="20"/>
              <w:szCs w:val="22"/>
            </w:rPr>
            <w:instrText xml:space="preserve"> TOC \o "1-3" \h \z \u </w:instrText>
          </w:r>
          <w:r>
            <w:rPr>
              <w:sz w:val="20"/>
              <w:szCs w:val="22"/>
            </w:rPr>
            <w:fldChar w:fldCharType="separate"/>
          </w:r>
          <w:r>
            <w:fldChar w:fldCharType="begin"/>
          </w:r>
          <w:r>
            <w:instrText xml:space="preserve"> HYPERLINK \l "_Toc144073317" </w:instrText>
          </w:r>
          <w:r>
            <w:fldChar w:fldCharType="separate"/>
          </w:r>
          <w:r>
            <w:rPr>
              <w:rStyle w:val="24"/>
            </w:rPr>
            <w:t>1</w:t>
          </w:r>
          <w:r>
            <w:rPr>
              <w:rFonts w:asciiTheme="minorHAnsi" w:hAnsiTheme="minorHAnsi" w:eastAsiaTheme="minorEastAsia" w:cstheme="minorBidi"/>
              <w:szCs w:val="22"/>
              <w14:ligatures w14:val="standardContextual"/>
            </w:rPr>
            <w:tab/>
          </w:r>
          <w:r>
            <w:rPr>
              <w:rStyle w:val="24"/>
            </w:rPr>
            <w:t>行业应用基本情况介绍</w:t>
          </w:r>
          <w:r>
            <w:tab/>
          </w:r>
          <w:r>
            <w:fldChar w:fldCharType="begin"/>
          </w:r>
          <w:r>
            <w:instrText xml:space="preserve"> PAGEREF _Toc144073317 \h </w:instrText>
          </w:r>
          <w:r>
            <w:fldChar w:fldCharType="separate"/>
          </w:r>
          <w:r>
            <w:t>3</w:t>
          </w:r>
          <w:r>
            <w:fldChar w:fldCharType="end"/>
          </w:r>
          <w:r>
            <w:fldChar w:fldCharType="end"/>
          </w:r>
        </w:p>
        <w:p w14:paraId="79997111">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"_Toc144073318" </w:instrText>
          </w:r>
          <w:r>
            <w:fldChar w:fldCharType="separate"/>
          </w:r>
          <w:r>
            <w:rPr>
              <w:rStyle w:val="24"/>
            </w:rPr>
            <w:t>1.1</w:t>
          </w:r>
          <w:r>
            <w:rPr>
              <w:rFonts w:asciiTheme="minorHAnsi" w:hAnsiTheme="minorHAnsi" w:eastAsiaTheme="minorEastAsia" w:cstheme="minorBidi"/>
              <w:szCs w:val="22"/>
              <w14:ligatures w14:val="standardContextual"/>
            </w:rPr>
            <w:tab/>
          </w:r>
          <w:r>
            <w:rPr>
              <w:rStyle w:val="24"/>
            </w:rPr>
            <w:t>应用名称</w:t>
          </w:r>
          <w:r>
            <w:tab/>
          </w:r>
          <w:r>
            <w:fldChar w:fldCharType="begin"/>
          </w:r>
          <w:r>
            <w:instrText xml:space="preserve"> PAGEREF _Toc144073318 \h </w:instrText>
          </w:r>
          <w:r>
            <w:fldChar w:fldCharType="separate"/>
          </w:r>
          <w:r>
            <w:t>3</w:t>
          </w:r>
          <w:r>
            <w:fldChar w:fldCharType="end"/>
          </w:r>
          <w:r>
            <w:fldChar w:fldCharType="end"/>
          </w:r>
        </w:p>
        <w:p w14:paraId="0E938C1E">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"_Toc144073319" </w:instrText>
          </w:r>
          <w:r>
            <w:fldChar w:fldCharType="separate"/>
          </w:r>
          <w:r>
            <w:rPr>
              <w:rStyle w:val="24"/>
            </w:rPr>
            <w:t>1.2</w:t>
          </w:r>
          <w:r>
            <w:rPr>
              <w:rFonts w:asciiTheme="minorHAnsi" w:hAnsiTheme="minorHAnsi" w:eastAsiaTheme="minorEastAsia" w:cstheme="minorBidi"/>
              <w:szCs w:val="22"/>
              <w14:ligatures w14:val="standardContextual"/>
            </w:rPr>
            <w:tab/>
          </w:r>
          <w:r>
            <w:rPr>
              <w:rStyle w:val="24"/>
            </w:rPr>
            <w:t>应用内容简介</w:t>
          </w:r>
          <w:r>
            <w:tab/>
          </w:r>
          <w:r>
            <w:fldChar w:fldCharType="begin"/>
          </w:r>
          <w:r>
            <w:instrText xml:space="preserve"> PAGEREF _Toc144073319 \h </w:instrText>
          </w:r>
          <w:r>
            <w:fldChar w:fldCharType="separate"/>
          </w:r>
          <w:r>
            <w:t>3</w:t>
          </w:r>
          <w:r>
            <w:fldChar w:fldCharType="end"/>
          </w:r>
          <w:r>
            <w:fldChar w:fldCharType="end"/>
          </w:r>
        </w:p>
        <w:p w14:paraId="4D7326F3">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"_Toc144073320" </w:instrText>
          </w:r>
          <w:r>
            <w:fldChar w:fldCharType="separate"/>
          </w:r>
          <w:r>
            <w:rPr>
              <w:rStyle w:val="24"/>
            </w:rPr>
            <w:t>1.3</w:t>
          </w:r>
          <w:r>
            <w:rPr>
              <w:rFonts w:asciiTheme="minorHAnsi" w:hAnsiTheme="minorHAnsi" w:eastAsiaTheme="minorEastAsia" w:cstheme="minorBidi"/>
              <w:szCs w:val="22"/>
              <w14:ligatures w14:val="standardContextual"/>
            </w:rPr>
            <w:tab/>
          </w:r>
          <w:r>
            <w:rPr>
              <w:rStyle w:val="24"/>
            </w:rPr>
            <w:t>所属行业</w:t>
          </w:r>
          <w:r>
            <w:tab/>
          </w:r>
          <w:r>
            <w:fldChar w:fldCharType="begin"/>
          </w:r>
          <w:r>
            <w:instrText xml:space="preserve"> PAGEREF _Toc144073320 \h </w:instrText>
          </w:r>
          <w:r>
            <w:fldChar w:fldCharType="separate"/>
          </w:r>
          <w:r>
            <w:t>3</w:t>
          </w:r>
          <w:r>
            <w:fldChar w:fldCharType="end"/>
          </w:r>
          <w:r>
            <w:fldChar w:fldCharType="end"/>
          </w:r>
        </w:p>
        <w:p w14:paraId="55AA2021">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"_Toc144073321" </w:instrText>
          </w:r>
          <w:r>
            <w:fldChar w:fldCharType="separate"/>
          </w:r>
          <w:r>
            <w:rPr>
              <w:rStyle w:val="24"/>
            </w:rPr>
            <w:t>1.4</w:t>
          </w:r>
          <w:r>
            <w:rPr>
              <w:rFonts w:asciiTheme="minorHAnsi" w:hAnsiTheme="minorHAnsi" w:eastAsiaTheme="minorEastAsia" w:cstheme="minorBidi"/>
              <w:szCs w:val="22"/>
              <w14:ligatures w14:val="standardContextual"/>
            </w:rPr>
            <w:tab/>
          </w:r>
          <w:r>
            <w:rPr>
              <w:rStyle w:val="24"/>
            </w:rPr>
            <w:t>业务场景</w:t>
          </w:r>
          <w:r>
            <w:tab/>
          </w:r>
          <w:r>
            <w:fldChar w:fldCharType="begin"/>
          </w:r>
          <w:r>
            <w:instrText xml:space="preserve"> PAGEREF _Toc144073321 \h </w:instrText>
          </w:r>
          <w:r>
            <w:fldChar w:fldCharType="separate"/>
          </w:r>
          <w:r>
            <w:t>3</w:t>
          </w:r>
          <w:r>
            <w:fldChar w:fldCharType="end"/>
          </w:r>
          <w:r>
            <w:fldChar w:fldCharType="end"/>
          </w:r>
        </w:p>
        <w:p w14:paraId="7A9F6262">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"_Toc144073322" </w:instrText>
          </w:r>
          <w:r>
            <w:fldChar w:fldCharType="separate"/>
          </w:r>
          <w:r>
            <w:rPr>
              <w:rStyle w:val="24"/>
            </w:rPr>
            <w:t>1.5</w:t>
          </w:r>
          <w:r>
            <w:rPr>
              <w:rFonts w:asciiTheme="minorHAnsi" w:hAnsiTheme="minorHAnsi" w:eastAsiaTheme="minorEastAsia" w:cstheme="minorBidi"/>
              <w:szCs w:val="22"/>
              <w14:ligatures w14:val="standardContextual"/>
            </w:rPr>
            <w:tab/>
          </w:r>
          <w:r>
            <w:rPr>
              <w:rStyle w:val="24"/>
            </w:rPr>
            <w:t>应用规模</w:t>
          </w:r>
          <w:r>
            <w:tab/>
          </w:r>
          <w:r>
            <w:fldChar w:fldCharType="begin"/>
          </w:r>
          <w:r>
            <w:instrText xml:space="preserve"> PAGEREF _Toc144073322 \h </w:instrText>
          </w:r>
          <w:r>
            <w:fldChar w:fldCharType="separate"/>
          </w:r>
          <w:r>
            <w:t>4</w:t>
          </w:r>
          <w:r>
            <w:fldChar w:fldCharType="end"/>
          </w:r>
          <w:r>
            <w:fldChar w:fldCharType="end"/>
          </w:r>
        </w:p>
        <w:p w14:paraId="4F8E45FB">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"_Toc144073323" </w:instrText>
          </w:r>
          <w:r>
            <w:fldChar w:fldCharType="separate"/>
          </w:r>
          <w:r>
            <w:rPr>
              <w:rStyle w:val="24"/>
            </w:rPr>
            <w:t>1.6</w:t>
          </w:r>
          <w:r>
            <w:rPr>
              <w:rFonts w:asciiTheme="minorHAnsi" w:hAnsiTheme="minorHAnsi" w:eastAsiaTheme="minorEastAsia" w:cstheme="minorBidi"/>
              <w:szCs w:val="22"/>
              <w14:ligatures w14:val="standardContextual"/>
            </w:rPr>
            <w:tab/>
          </w:r>
          <w:r>
            <w:rPr>
              <w:rStyle w:val="24"/>
            </w:rPr>
            <w:t>应用类型</w:t>
          </w:r>
          <w:r>
            <w:tab/>
          </w:r>
          <w:r>
            <w:fldChar w:fldCharType="begin"/>
          </w:r>
          <w:r>
            <w:instrText xml:space="preserve"> PAGEREF _Toc144073323 \h </w:instrText>
          </w:r>
          <w:r>
            <w:fldChar w:fldCharType="separate"/>
          </w:r>
          <w:r>
            <w:t>4</w:t>
          </w:r>
          <w:r>
            <w:fldChar w:fldCharType="end"/>
          </w:r>
          <w:r>
            <w:fldChar w:fldCharType="end"/>
          </w:r>
        </w:p>
        <w:p w14:paraId="201F9C1B">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"_Toc144073324" </w:instrText>
          </w:r>
          <w:r>
            <w:fldChar w:fldCharType="separate"/>
          </w:r>
          <w:r>
            <w:rPr>
              <w:rStyle w:val="24"/>
            </w:rPr>
            <w:t>1.7</w:t>
          </w:r>
          <w:r>
            <w:rPr>
              <w:rFonts w:asciiTheme="minorHAnsi" w:hAnsiTheme="minorHAnsi" w:eastAsiaTheme="minorEastAsia" w:cstheme="minorBidi"/>
              <w:szCs w:val="22"/>
              <w14:ligatures w14:val="standardContextual"/>
            </w:rPr>
            <w:tab/>
          </w:r>
          <w:r>
            <w:rPr>
              <w:rStyle w:val="24"/>
            </w:rPr>
            <w:t>行业用户身份认证情况</w:t>
          </w:r>
          <w:r>
            <w:tab/>
          </w:r>
          <w:r>
            <w:fldChar w:fldCharType="begin"/>
          </w:r>
          <w:r>
            <w:instrText xml:space="preserve"> PAGEREF _Toc144073324 \h </w:instrText>
          </w:r>
          <w:r>
            <w:fldChar w:fldCharType="separate"/>
          </w:r>
          <w:r>
            <w:t>4</w:t>
          </w:r>
          <w:r>
            <w:fldChar w:fldCharType="end"/>
          </w:r>
          <w:r>
            <w:fldChar w:fldCharType="end"/>
          </w:r>
        </w:p>
        <w:p w14:paraId="77B47D30">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"_Toc144073325" </w:instrText>
          </w:r>
          <w:r>
            <w:fldChar w:fldCharType="separate"/>
          </w:r>
          <w:r>
            <w:rPr>
              <w:rStyle w:val="24"/>
            </w:rPr>
            <w:t>1.8</w:t>
          </w:r>
          <w:r>
            <w:rPr>
              <w:rFonts w:asciiTheme="minorHAnsi" w:hAnsiTheme="minorHAnsi" w:eastAsiaTheme="minorEastAsia" w:cstheme="minorBidi"/>
              <w:szCs w:val="22"/>
              <w14:ligatures w14:val="standardContextual"/>
            </w:rPr>
            <w:tab/>
          </w:r>
          <w:r>
            <w:rPr>
              <w:rStyle w:val="24"/>
            </w:rPr>
            <w:t>设备及网络部署位置</w:t>
          </w:r>
          <w:r>
            <w:tab/>
          </w:r>
          <w:r>
            <w:fldChar w:fldCharType="begin"/>
          </w:r>
          <w:r>
            <w:instrText xml:space="preserve"> PAGEREF _Toc144073325 \h </w:instrText>
          </w:r>
          <w:r>
            <w:fldChar w:fldCharType="separate"/>
          </w:r>
          <w:r>
            <w:t>5</w:t>
          </w:r>
          <w:r>
            <w:fldChar w:fldCharType="end"/>
          </w:r>
          <w:r>
            <w:fldChar w:fldCharType="end"/>
          </w:r>
        </w:p>
        <w:p w14:paraId="6233A248">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"_Toc144073326" </w:instrText>
          </w:r>
          <w:r>
            <w:fldChar w:fldCharType="separate"/>
          </w:r>
          <w:r>
            <w:rPr>
              <w:rStyle w:val="24"/>
            </w:rPr>
            <w:t>1.9</w:t>
          </w:r>
          <w:r>
            <w:rPr>
              <w:rFonts w:asciiTheme="minorHAnsi" w:hAnsiTheme="minorHAnsi" w:eastAsiaTheme="minorEastAsia" w:cstheme="minorBidi"/>
              <w:szCs w:val="22"/>
              <w14:ligatures w14:val="standardContextual"/>
            </w:rPr>
            <w:tab/>
          </w:r>
          <w:r>
            <w:rPr>
              <w:rStyle w:val="24"/>
            </w:rPr>
            <w:t>切片类型</w:t>
          </w:r>
          <w:r>
            <w:tab/>
          </w:r>
          <w:r>
            <w:fldChar w:fldCharType="begin"/>
          </w:r>
          <w:r>
            <w:instrText xml:space="preserve"> PAGEREF _Toc144073326 \h </w:instrText>
          </w:r>
          <w:r>
            <w:fldChar w:fldCharType="separate"/>
          </w:r>
          <w:r>
            <w:t>7</w:t>
          </w:r>
          <w:r>
            <w:fldChar w:fldCharType="end"/>
          </w:r>
          <w:r>
            <w:fldChar w:fldCharType="end"/>
          </w:r>
        </w:p>
        <w:p w14:paraId="71E58A22">
          <w:pPr>
            <w:pStyle w:val="19"/>
            <w:tabs>
              <w:tab w:val="left" w:pos="126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"_Toc144073327" </w:instrText>
          </w:r>
          <w:r>
            <w:fldChar w:fldCharType="separate"/>
          </w:r>
          <w:r>
            <w:rPr>
              <w:rStyle w:val="24"/>
            </w:rPr>
            <w:t>1.10</w:t>
          </w:r>
          <w:r>
            <w:rPr>
              <w:rFonts w:asciiTheme="minorHAnsi" w:hAnsiTheme="minorHAnsi" w:eastAsiaTheme="minorEastAsia" w:cstheme="minorBidi"/>
              <w:szCs w:val="22"/>
              <w14:ligatures w14:val="standardContextual"/>
            </w:rPr>
            <w:tab/>
          </w:r>
          <w:r>
            <w:rPr>
              <w:rStyle w:val="24"/>
            </w:rPr>
            <w:t>专网模式</w:t>
          </w:r>
          <w:r>
            <w:tab/>
          </w:r>
          <w:r>
            <w:fldChar w:fldCharType="begin"/>
          </w:r>
          <w:r>
            <w:instrText xml:space="preserve"> PAGEREF _Toc144073327 \h </w:instrText>
          </w:r>
          <w:r>
            <w:fldChar w:fldCharType="separate"/>
          </w:r>
          <w:r>
            <w:t>7</w:t>
          </w:r>
          <w:r>
            <w:fldChar w:fldCharType="end"/>
          </w:r>
          <w:r>
            <w:fldChar w:fldCharType="end"/>
          </w:r>
        </w:p>
        <w:p w14:paraId="0DF11C5C">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"_Toc144073328" </w:instrText>
          </w:r>
          <w:r>
            <w:fldChar w:fldCharType="separate"/>
          </w:r>
          <w:r>
            <w:rPr>
              <w:rStyle w:val="24"/>
            </w:rPr>
            <w:t>1.11</w:t>
          </w:r>
          <w:r>
            <w:rPr>
              <w:rFonts w:asciiTheme="minorHAnsi" w:hAnsiTheme="minorHAnsi" w:eastAsiaTheme="minorEastAsia" w:cstheme="minorBidi"/>
              <w:szCs w:val="22"/>
              <w14:ligatures w14:val="standardContextual"/>
            </w:rPr>
            <w:tab/>
          </w:r>
          <w:r>
            <w:rPr>
              <w:rStyle w:val="24"/>
            </w:rPr>
            <w:t>对公共安全的影响</w:t>
          </w:r>
          <w:r>
            <w:tab/>
          </w:r>
          <w:r>
            <w:fldChar w:fldCharType="begin"/>
          </w:r>
          <w:r>
            <w:instrText xml:space="preserve"> PAGEREF _Toc144073328 \h </w:instrText>
          </w:r>
          <w:r>
            <w:fldChar w:fldCharType="separate"/>
          </w:r>
          <w:r>
            <w:t>7</w:t>
          </w:r>
          <w:r>
            <w:fldChar w:fldCharType="end"/>
          </w:r>
          <w:r>
            <w:fldChar w:fldCharType="end"/>
          </w:r>
        </w:p>
        <w:p w14:paraId="75D9BF60">
          <w:pPr>
            <w:pStyle w:val="17"/>
            <w:tabs>
              <w:tab w:val="left" w:pos="42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"_Toc144073329" </w:instrText>
          </w:r>
          <w:r>
            <w:fldChar w:fldCharType="separate"/>
          </w:r>
          <w:r>
            <w:rPr>
              <w:rStyle w:val="24"/>
            </w:rPr>
            <w:t>2</w:t>
          </w:r>
          <w:r>
            <w:rPr>
              <w:rFonts w:asciiTheme="minorHAnsi" w:hAnsiTheme="minorHAnsi" w:eastAsiaTheme="minorEastAsia" w:cstheme="minorBidi"/>
              <w:szCs w:val="22"/>
              <w14:ligatures w14:val="standardContextual"/>
            </w:rPr>
            <w:tab/>
          </w:r>
          <w:r>
            <w:rPr>
              <w:rStyle w:val="24"/>
            </w:rPr>
            <w:t>安全评估情况</w:t>
          </w:r>
          <w:r>
            <w:tab/>
          </w:r>
          <w:r>
            <w:fldChar w:fldCharType="begin"/>
          </w:r>
          <w:r>
            <w:instrText xml:space="preserve"> PAGEREF _Toc144073329 \h </w:instrText>
          </w:r>
          <w:r>
            <w:fldChar w:fldCharType="separate"/>
          </w:r>
          <w:r>
            <w:t>7</w:t>
          </w:r>
          <w:r>
            <w:fldChar w:fldCharType="end"/>
          </w:r>
          <w:r>
            <w:fldChar w:fldCharType="end"/>
          </w:r>
        </w:p>
        <w:p w14:paraId="3D8FAA6E">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"_Toc144073330" </w:instrText>
          </w:r>
          <w:r>
            <w:fldChar w:fldCharType="separate"/>
          </w:r>
          <w:r>
            <w:rPr>
              <w:rStyle w:val="24"/>
            </w:rPr>
            <w:t>2.1</w:t>
          </w:r>
          <w:r>
            <w:rPr>
              <w:rFonts w:asciiTheme="minorHAnsi" w:hAnsiTheme="minorHAnsi" w:eastAsiaTheme="minorEastAsia" w:cstheme="minorBidi"/>
              <w:szCs w:val="22"/>
              <w14:ligatures w14:val="standardContextual"/>
            </w:rPr>
            <w:tab/>
          </w:r>
          <w:r>
            <w:rPr>
              <w:rStyle w:val="24"/>
            </w:rPr>
            <w:t>评估工作情况概述</w:t>
          </w:r>
          <w:r>
            <w:tab/>
          </w:r>
          <w:r>
            <w:fldChar w:fldCharType="begin"/>
          </w:r>
          <w:r>
            <w:instrText xml:space="preserve"> PAGEREF _Toc144073330 \h </w:instrText>
          </w:r>
          <w:r>
            <w:fldChar w:fldCharType="separate"/>
          </w:r>
          <w:r>
            <w:t>7</w:t>
          </w:r>
          <w:r>
            <w:fldChar w:fldCharType="end"/>
          </w:r>
          <w:r>
            <w:fldChar w:fldCharType="end"/>
          </w:r>
        </w:p>
        <w:p w14:paraId="4B8A0ECF">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"_Toc144073331" </w:instrText>
          </w:r>
          <w:r>
            <w:fldChar w:fldCharType="separate"/>
          </w:r>
          <w:r>
            <w:rPr>
              <w:rStyle w:val="24"/>
            </w:rPr>
            <w:t>2.2</w:t>
          </w:r>
          <w:r>
            <w:rPr>
              <w:rFonts w:asciiTheme="minorHAnsi" w:hAnsiTheme="minorHAnsi" w:eastAsiaTheme="minorEastAsia" w:cstheme="minorBidi"/>
              <w:szCs w:val="22"/>
              <w14:ligatures w14:val="standardContextual"/>
            </w:rPr>
            <w:tab/>
          </w:r>
          <w:r>
            <w:rPr>
              <w:rStyle w:val="24"/>
            </w:rPr>
            <w:t>评估人员组成</w:t>
          </w:r>
          <w:r>
            <w:tab/>
          </w:r>
          <w:r>
            <w:fldChar w:fldCharType="begin"/>
          </w:r>
          <w:r>
            <w:instrText xml:space="preserve"> PAGEREF _Toc144073331 \h </w:instrText>
          </w:r>
          <w:r>
            <w:fldChar w:fldCharType="separate"/>
          </w:r>
          <w:r>
            <w:t>8</w:t>
          </w:r>
          <w:r>
            <w:fldChar w:fldCharType="end"/>
          </w:r>
          <w:r>
            <w:fldChar w:fldCharType="end"/>
          </w:r>
        </w:p>
        <w:p w14:paraId="0A66F4AB">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"_Toc144073332" </w:instrText>
          </w:r>
          <w:r>
            <w:fldChar w:fldCharType="separate"/>
          </w:r>
          <w:r>
            <w:rPr>
              <w:rStyle w:val="24"/>
            </w:rPr>
            <w:t>2.3</w:t>
          </w:r>
          <w:r>
            <w:rPr>
              <w:rFonts w:asciiTheme="minorHAnsi" w:hAnsiTheme="minorHAnsi" w:eastAsiaTheme="minorEastAsia" w:cstheme="minorBidi"/>
              <w:szCs w:val="22"/>
              <w14:ligatures w14:val="standardContextual"/>
            </w:rPr>
            <w:tab/>
          </w:r>
          <w:r>
            <w:rPr>
              <w:rStyle w:val="24"/>
            </w:rPr>
            <w:t>评估实施流程及时间</w:t>
          </w:r>
          <w:r>
            <w:tab/>
          </w:r>
          <w:r>
            <w:fldChar w:fldCharType="begin"/>
          </w:r>
          <w:r>
            <w:instrText xml:space="preserve"> PAGEREF _Toc144073332 \h </w:instrText>
          </w:r>
          <w:r>
            <w:fldChar w:fldCharType="separate"/>
          </w:r>
          <w:r>
            <w:t>8</w:t>
          </w:r>
          <w:r>
            <w:fldChar w:fldCharType="end"/>
          </w:r>
          <w:r>
            <w:fldChar w:fldCharType="end"/>
          </w:r>
        </w:p>
        <w:p w14:paraId="2AC4F2F4">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"_Toc144073333" </w:instrText>
          </w:r>
          <w:r>
            <w:fldChar w:fldCharType="separate"/>
          </w:r>
          <w:r>
            <w:rPr>
              <w:rStyle w:val="24"/>
            </w:rPr>
            <w:t>2.4</w:t>
          </w:r>
          <w:r>
            <w:rPr>
              <w:rFonts w:asciiTheme="minorHAnsi" w:hAnsiTheme="minorHAnsi" w:eastAsiaTheme="minorEastAsia" w:cstheme="minorBidi"/>
              <w:szCs w:val="22"/>
              <w14:ligatures w14:val="standardContextual"/>
            </w:rPr>
            <w:tab/>
          </w:r>
          <w:r>
            <w:rPr>
              <w:rStyle w:val="24"/>
            </w:rPr>
            <w:t>评估结果</w:t>
          </w:r>
          <w:r>
            <w:tab/>
          </w:r>
          <w:r>
            <w:fldChar w:fldCharType="begin"/>
          </w:r>
          <w:r>
            <w:instrText xml:space="preserve"> PAGEREF _Toc144073333 \h </w:instrText>
          </w:r>
          <w:r>
            <w:fldChar w:fldCharType="separate"/>
          </w:r>
          <w:r>
            <w:t>9</w:t>
          </w:r>
          <w:r>
            <w:fldChar w:fldCharType="end"/>
          </w:r>
          <w:r>
            <w:fldChar w:fldCharType="end"/>
          </w:r>
        </w:p>
        <w:p w14:paraId="60A94245">
          <w:pPr>
            <w:pStyle w:val="14"/>
            <w:tabs>
              <w:tab w:val="left" w:pos="168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"_Toc144073334" </w:instrText>
          </w:r>
          <w:r>
            <w:fldChar w:fldCharType="separate"/>
          </w:r>
          <w:r>
            <w:rPr>
              <w:rStyle w:val="24"/>
            </w:rPr>
            <w:t>2.4.1</w:t>
          </w:r>
          <w:r>
            <w:rPr>
              <w:rFonts w:asciiTheme="minorHAnsi" w:hAnsiTheme="minorHAnsi" w:eastAsiaTheme="minorEastAsia" w:cstheme="minorBidi"/>
              <w:szCs w:val="22"/>
              <w14:ligatures w14:val="standardContextual"/>
            </w:rPr>
            <w:tab/>
          </w:r>
          <w:r>
            <w:rPr>
              <w:rStyle w:val="24"/>
            </w:rPr>
            <w:t>5G典型应用场景安全</w:t>
          </w:r>
          <w:r>
            <w:tab/>
          </w:r>
          <w:r>
            <w:fldChar w:fldCharType="begin"/>
          </w:r>
          <w:r>
            <w:instrText xml:space="preserve"> PAGEREF _Toc144073334 \h </w:instrText>
          </w:r>
          <w:r>
            <w:fldChar w:fldCharType="separate"/>
          </w:r>
          <w:r>
            <w:t>9</w:t>
          </w:r>
          <w:r>
            <w:fldChar w:fldCharType="end"/>
          </w:r>
          <w:r>
            <w:fldChar w:fldCharType="end"/>
          </w:r>
        </w:p>
        <w:p w14:paraId="586043C8">
          <w:pPr>
            <w:pStyle w:val="14"/>
            <w:tabs>
              <w:tab w:val="left" w:pos="168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"_Toc144073335" </w:instrText>
          </w:r>
          <w:r>
            <w:fldChar w:fldCharType="separate"/>
          </w:r>
          <w:r>
            <w:rPr>
              <w:rStyle w:val="24"/>
            </w:rPr>
            <w:t>2.4.2</w:t>
          </w:r>
          <w:r>
            <w:rPr>
              <w:rFonts w:asciiTheme="minorHAnsi" w:hAnsiTheme="minorHAnsi" w:eastAsiaTheme="minorEastAsia" w:cstheme="minorBidi"/>
              <w:szCs w:val="22"/>
              <w14:ligatures w14:val="standardContextual"/>
            </w:rPr>
            <w:tab/>
          </w:r>
          <w:r>
            <w:rPr>
              <w:rStyle w:val="24"/>
            </w:rPr>
            <w:t>5G应用通用安全</w:t>
          </w:r>
          <w:r>
            <w:tab/>
          </w:r>
          <w:r>
            <w:fldChar w:fldCharType="begin"/>
          </w:r>
          <w:r>
            <w:instrText xml:space="preserve"> PAGEREF _Toc144073335 \h </w:instrText>
          </w:r>
          <w:r>
            <w:fldChar w:fldCharType="separate"/>
          </w:r>
          <w:r>
            <w:t>11</w:t>
          </w:r>
          <w:r>
            <w:fldChar w:fldCharType="end"/>
          </w:r>
          <w:r>
            <w:fldChar w:fldCharType="end"/>
          </w:r>
        </w:p>
        <w:p w14:paraId="00152D05">
          <w:pPr>
            <w:pStyle w:val="14"/>
            <w:tabs>
              <w:tab w:val="left" w:pos="168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"_Toc144073336" </w:instrText>
          </w:r>
          <w:r>
            <w:fldChar w:fldCharType="separate"/>
          </w:r>
          <w:r>
            <w:rPr>
              <w:rStyle w:val="24"/>
            </w:rPr>
            <w:t>2.4.3</w:t>
          </w:r>
          <w:r>
            <w:rPr>
              <w:rFonts w:asciiTheme="minorHAnsi" w:hAnsiTheme="minorHAnsi" w:eastAsiaTheme="minorEastAsia" w:cstheme="minorBidi"/>
              <w:szCs w:val="22"/>
              <w14:ligatures w14:val="standardContextual"/>
            </w:rPr>
            <w:tab/>
          </w:r>
          <w:r>
            <w:rPr>
              <w:rStyle w:val="24"/>
            </w:rPr>
            <w:t>5G专网安全</w:t>
          </w:r>
          <w:r>
            <w:tab/>
          </w:r>
          <w:r>
            <w:fldChar w:fldCharType="begin"/>
          </w:r>
          <w:r>
            <w:instrText xml:space="preserve"> PAGEREF _Toc144073336 \h </w:instrText>
          </w:r>
          <w:r>
            <w:fldChar w:fldCharType="separate"/>
          </w:r>
          <w:r>
            <w:t>17</w:t>
          </w:r>
          <w:r>
            <w:fldChar w:fldCharType="end"/>
          </w:r>
          <w:r>
            <w:fldChar w:fldCharType="end"/>
          </w:r>
        </w:p>
        <w:p w14:paraId="476CD8BB">
          <w:pPr>
            <w:pStyle w:val="14"/>
            <w:tabs>
              <w:tab w:val="left" w:pos="168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"_Toc144073337" </w:instrText>
          </w:r>
          <w:r>
            <w:fldChar w:fldCharType="separate"/>
          </w:r>
          <w:r>
            <w:rPr>
              <w:rStyle w:val="24"/>
            </w:rPr>
            <w:t>2.4.4</w:t>
          </w:r>
          <w:r>
            <w:rPr>
              <w:rFonts w:asciiTheme="minorHAnsi" w:hAnsiTheme="minorHAnsi" w:eastAsiaTheme="minorEastAsia" w:cstheme="minorBidi"/>
              <w:szCs w:val="22"/>
              <w14:ligatures w14:val="standardContextual"/>
            </w:rPr>
            <w:tab/>
          </w:r>
          <w:r>
            <w:rPr>
              <w:rStyle w:val="24"/>
            </w:rPr>
            <w:t>5G关键技术安全</w:t>
          </w:r>
          <w:r>
            <w:tab/>
          </w:r>
          <w:r>
            <w:fldChar w:fldCharType="begin"/>
          </w:r>
          <w:r>
            <w:instrText xml:space="preserve"> PAGEREF _Toc144073337 \h </w:instrText>
          </w:r>
          <w:r>
            <w:fldChar w:fldCharType="separate"/>
          </w:r>
          <w:r>
            <w:t>31</w:t>
          </w:r>
          <w:r>
            <w:fldChar w:fldCharType="end"/>
          </w:r>
          <w:r>
            <w:fldChar w:fldCharType="end"/>
          </w:r>
        </w:p>
        <w:p w14:paraId="35C35574">
          <w:pPr>
            <w:pStyle w:val="14"/>
            <w:tabs>
              <w:tab w:val="left" w:pos="168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"_Toc144073338" </w:instrText>
          </w:r>
          <w:r>
            <w:fldChar w:fldCharType="separate"/>
          </w:r>
          <w:r>
            <w:rPr>
              <w:rStyle w:val="24"/>
            </w:rPr>
            <w:t>2.4.5</w:t>
          </w:r>
          <w:r>
            <w:rPr>
              <w:rFonts w:asciiTheme="minorHAnsi" w:hAnsiTheme="minorHAnsi" w:eastAsiaTheme="minorEastAsia" w:cstheme="minorBidi"/>
              <w:szCs w:val="22"/>
              <w14:ligatures w14:val="standardContextual"/>
            </w:rPr>
            <w:tab/>
          </w:r>
          <w:r>
            <w:rPr>
              <w:rStyle w:val="24"/>
            </w:rPr>
            <w:t>5G行业应用安全保障</w:t>
          </w:r>
          <w:r>
            <w:tab/>
          </w:r>
          <w:r>
            <w:fldChar w:fldCharType="begin"/>
          </w:r>
          <w:r>
            <w:instrText xml:space="preserve"> PAGEREF _Toc144073338 \h </w:instrText>
          </w:r>
          <w:r>
            <w:fldChar w:fldCharType="separate"/>
          </w:r>
          <w:r>
            <w:t>47</w:t>
          </w:r>
          <w:r>
            <w:fldChar w:fldCharType="end"/>
          </w:r>
          <w:r>
            <w:fldChar w:fldCharType="end"/>
          </w:r>
        </w:p>
        <w:p w14:paraId="21B20A40">
          <w:pPr>
            <w:pStyle w:val="14"/>
            <w:tabs>
              <w:tab w:val="left" w:pos="168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"_Toc144073339" </w:instrText>
          </w:r>
          <w:r>
            <w:fldChar w:fldCharType="separate"/>
          </w:r>
          <w:r>
            <w:rPr>
              <w:rStyle w:val="24"/>
            </w:rPr>
            <w:t>2.4.6</w:t>
          </w:r>
          <w:r>
            <w:rPr>
              <w:rFonts w:asciiTheme="minorHAnsi" w:hAnsiTheme="minorHAnsi" w:eastAsiaTheme="minorEastAsia" w:cstheme="minorBidi"/>
              <w:szCs w:val="22"/>
              <w14:ligatures w14:val="standardContextual"/>
            </w:rPr>
            <w:tab/>
          </w:r>
          <w:r>
            <w:rPr>
              <w:rStyle w:val="24"/>
            </w:rPr>
            <w:t>5G行业应用数据安全</w:t>
          </w:r>
          <w:r>
            <w:tab/>
          </w:r>
          <w:r>
            <w:fldChar w:fldCharType="begin"/>
          </w:r>
          <w:r>
            <w:instrText xml:space="preserve"> PAGEREF _Toc144073339 \h </w:instrText>
          </w:r>
          <w:r>
            <w:fldChar w:fldCharType="separate"/>
          </w:r>
          <w:r>
            <w:t>59</w:t>
          </w:r>
          <w:r>
            <w:fldChar w:fldCharType="end"/>
          </w:r>
          <w:r>
            <w:fldChar w:fldCharType="end"/>
          </w:r>
        </w:p>
        <w:p w14:paraId="463FFB30">
          <w:pPr>
            <w:pStyle w:val="17"/>
            <w:tabs>
              <w:tab w:val="left" w:pos="42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"_Toc144073340" </w:instrText>
          </w:r>
          <w:r>
            <w:fldChar w:fldCharType="separate"/>
          </w:r>
          <w:r>
            <w:rPr>
              <w:rStyle w:val="24"/>
            </w:rPr>
            <w:t>3</w:t>
          </w:r>
          <w:r>
            <w:rPr>
              <w:rFonts w:asciiTheme="minorHAnsi" w:hAnsiTheme="minorHAnsi" w:eastAsiaTheme="minorEastAsia" w:cstheme="minorBidi"/>
              <w:szCs w:val="22"/>
              <w14:ligatures w14:val="standardContextual"/>
            </w:rPr>
            <w:tab/>
          </w:r>
          <w:r>
            <w:rPr>
              <w:rStyle w:val="24"/>
            </w:rPr>
            <w:t>整改建议及落实情况</w:t>
          </w:r>
          <w:r>
            <w:tab/>
          </w:r>
          <w:r>
            <w:fldChar w:fldCharType="begin"/>
          </w:r>
          <w:r>
            <w:instrText xml:space="preserve"> PAGEREF _Toc144073340 \h </w:instrText>
          </w:r>
          <w:r>
            <w:fldChar w:fldCharType="separate"/>
          </w:r>
          <w:r>
            <w:t>78</w:t>
          </w:r>
          <w:r>
            <w:fldChar w:fldCharType="end"/>
          </w:r>
          <w:r>
            <w:fldChar w:fldCharType="end"/>
          </w:r>
        </w:p>
        <w:p w14:paraId="1F943449">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"_Toc144073341" </w:instrText>
          </w:r>
          <w:r>
            <w:fldChar w:fldCharType="separate"/>
          </w:r>
          <w:r>
            <w:rPr>
              <w:rStyle w:val="24"/>
            </w:rPr>
            <w:t>3.1</w:t>
          </w:r>
          <w:r>
            <w:rPr>
              <w:rFonts w:asciiTheme="minorHAnsi" w:hAnsiTheme="minorHAnsi" w:eastAsiaTheme="minorEastAsia" w:cstheme="minorBidi"/>
              <w:szCs w:val="22"/>
              <w14:ligatures w14:val="standardContextual"/>
            </w:rPr>
            <w:tab/>
          </w:r>
          <w:r>
            <w:rPr>
              <w:rStyle w:val="24"/>
            </w:rPr>
            <w:t>整改建议</w:t>
          </w:r>
          <w:r>
            <w:tab/>
          </w:r>
          <w:r>
            <w:fldChar w:fldCharType="begin"/>
          </w:r>
          <w:r>
            <w:instrText xml:space="preserve"> PAGEREF _Toc144073341 \h </w:instrText>
          </w:r>
          <w:r>
            <w:fldChar w:fldCharType="separate"/>
          </w:r>
          <w:r>
            <w:t>78</w:t>
          </w:r>
          <w:r>
            <w:fldChar w:fldCharType="end"/>
          </w:r>
          <w:r>
            <w:fldChar w:fldCharType="end"/>
          </w:r>
        </w:p>
        <w:p w14:paraId="13A691D0">
          <w:pPr>
            <w:pStyle w:val="19"/>
            <w:tabs>
              <w:tab w:val="left" w:pos="105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"_Toc144073342" </w:instrText>
          </w:r>
          <w:r>
            <w:fldChar w:fldCharType="separate"/>
          </w:r>
          <w:r>
            <w:rPr>
              <w:rStyle w:val="24"/>
            </w:rPr>
            <w:t>3.2</w:t>
          </w:r>
          <w:r>
            <w:rPr>
              <w:rFonts w:asciiTheme="minorHAnsi" w:hAnsiTheme="minorHAnsi" w:eastAsiaTheme="minorEastAsia" w:cstheme="minorBidi"/>
              <w:szCs w:val="22"/>
              <w14:ligatures w14:val="standardContextual"/>
            </w:rPr>
            <w:tab/>
          </w:r>
          <w:r>
            <w:rPr>
              <w:rStyle w:val="24"/>
            </w:rPr>
            <w:t>整改落实情况</w:t>
          </w:r>
          <w:r>
            <w:tab/>
          </w:r>
          <w:r>
            <w:fldChar w:fldCharType="begin"/>
          </w:r>
          <w:r>
            <w:instrText xml:space="preserve"> PAGEREF _Toc144073342 \h </w:instrText>
          </w:r>
          <w:r>
            <w:fldChar w:fldCharType="separate"/>
          </w:r>
          <w:r>
            <w:t>79</w:t>
          </w:r>
          <w:r>
            <w:fldChar w:fldCharType="end"/>
          </w:r>
          <w:r>
            <w:fldChar w:fldCharType="end"/>
          </w:r>
        </w:p>
        <w:p w14:paraId="7834A25D">
          <w:pPr>
            <w:pStyle w:val="17"/>
            <w:tabs>
              <w:tab w:val="left" w:pos="420"/>
              <w:tab w:val="right" w:leader="dot" w:pos="8810"/>
            </w:tabs>
            <w:rPr>
              <w:rFonts w:asciiTheme="minorHAnsi" w:hAnsiTheme="minorHAnsi" w:eastAsiaTheme="minorEastAsia" w:cstheme="minorBidi"/>
              <w:szCs w:val="22"/>
              <w14:ligatures w14:val="standardContextual"/>
            </w:rPr>
          </w:pPr>
          <w:r>
            <w:fldChar w:fldCharType="begin"/>
          </w:r>
          <w:r>
            <w:instrText xml:space="preserve"> HYPERLINK \l "_Toc144073343" </w:instrText>
          </w:r>
          <w:r>
            <w:fldChar w:fldCharType="separate"/>
          </w:r>
          <w:r>
            <w:rPr>
              <w:rStyle w:val="24"/>
            </w:rPr>
            <w:t>4</w:t>
          </w:r>
          <w:r>
            <w:rPr>
              <w:rFonts w:asciiTheme="minorHAnsi" w:hAnsiTheme="minorHAnsi" w:eastAsiaTheme="minorEastAsia" w:cstheme="minorBidi"/>
              <w:szCs w:val="22"/>
              <w14:ligatures w14:val="standardContextual"/>
            </w:rPr>
            <w:tab/>
          </w:r>
          <w:r>
            <w:rPr>
              <w:rStyle w:val="24"/>
            </w:rPr>
            <w:t>评估结果签字确认</w:t>
          </w:r>
          <w:r>
            <w:tab/>
          </w:r>
          <w:r>
            <w:fldChar w:fldCharType="begin"/>
          </w:r>
          <w:r>
            <w:instrText xml:space="preserve"> PAGEREF _Toc144073343 \h </w:instrText>
          </w:r>
          <w:r>
            <w:fldChar w:fldCharType="separate"/>
          </w:r>
          <w:r>
            <w:t>80</w:t>
          </w:r>
          <w:r>
            <w:fldChar w:fldCharType="end"/>
          </w:r>
          <w:r>
            <w:fldChar w:fldCharType="end"/>
          </w:r>
        </w:p>
        <w:p w14:paraId="1645C6C5">
          <w:pPr>
            <w:rPr>
              <w:sz w:val="20"/>
              <w:szCs w:val="22"/>
            </w:rPr>
          </w:pPr>
          <w:r>
            <w:rPr>
              <w:b/>
              <w:bCs/>
              <w:sz w:val="20"/>
              <w:szCs w:val="22"/>
              <w:lang w:val="zh-CN"/>
            </w:rPr>
            <w:fldChar w:fldCharType="end"/>
          </w:r>
        </w:p>
      </w:sdtContent>
    </w:sdt>
    <w:p w14:paraId="0DE72625">
      <w:pPr>
        <w:rPr>
          <w:rFonts w:hint="eastAsia" w:ascii="仿宋" w:hAnsi="仿宋"/>
          <w:b/>
          <w:sz w:val="28"/>
          <w:szCs w:val="28"/>
        </w:rPr>
      </w:pPr>
    </w:p>
    <w:p w14:paraId="77AF2437">
      <w:pPr>
        <w:rPr>
          <w:rFonts w:hint="eastAsia" w:ascii="仿宋" w:hAnsi="仿宋"/>
          <w:b/>
          <w:sz w:val="28"/>
          <w:szCs w:val="28"/>
        </w:rPr>
      </w:pPr>
    </w:p>
    <w:p w14:paraId="150D5CD3">
      <w:pPr>
        <w:pStyle w:val="47"/>
        <w:ind w:firstLine="0" w:firstLineChars="0"/>
        <w:rPr>
          <w:rFonts w:hint="eastAsia"/>
          <w:sz w:val="22"/>
          <w:szCs w:val="18"/>
        </w:rPr>
      </w:pPr>
      <w:bookmarkStart w:id="0" w:name="_Toc486836676"/>
    </w:p>
    <w:p w14:paraId="3CAED475">
      <w:pPr>
        <w:pStyle w:val="2"/>
        <w:pageBreakBefore/>
        <w:numPr>
          <w:ilvl w:val="0"/>
          <w:numId w:val="1"/>
        </w:numPr>
        <w:rPr>
          <w:sz w:val="40"/>
          <w:szCs w:val="40"/>
        </w:rPr>
      </w:pPr>
      <w:bookmarkStart w:id="1" w:name="_Toc144073317"/>
      <w:r>
        <w:rPr>
          <w:rFonts w:hint="eastAsia"/>
          <w:sz w:val="40"/>
          <w:szCs w:val="40"/>
        </w:rPr>
        <w:t>行业应用基本情况介绍</w:t>
      </w:r>
      <w:bookmarkEnd w:id="0"/>
      <w:bookmarkEnd w:id="1"/>
    </w:p>
    <w:p w14:paraId="1A196320">
      <w:pPr>
        <w:pStyle w:val="3"/>
        <w:numPr>
          <w:ilvl w:val="1"/>
          <w:numId w:val="2"/>
        </w:numPr>
        <w:rPr>
          <w:sz w:val="28"/>
          <w:szCs w:val="28"/>
        </w:rPr>
      </w:pPr>
      <w:bookmarkStart w:id="2" w:name="_Toc144073318"/>
      <w:bookmarkStart w:id="3" w:name="_Toc486836677"/>
      <w:r>
        <w:rPr>
          <w:rFonts w:hint="eastAsia"/>
          <w:sz w:val="28"/>
          <w:szCs w:val="28"/>
        </w:rPr>
        <w:t>应用</w:t>
      </w:r>
      <w:bookmarkEnd w:id="2"/>
      <w:bookmarkEnd w:id="3"/>
      <w:r>
        <w:rPr>
          <w:rFonts w:hint="eastAsia"/>
          <w:sz w:val="28"/>
          <w:szCs w:val="28"/>
        </w:rPr>
        <w:t>名称</w:t>
      </w:r>
    </w:p>
    <w:p w14:paraId="5AFC7533">
      <w:pPr>
        <w:tabs>
          <w:tab w:val="left" w:pos="851"/>
        </w:tabs>
        <w:autoSpaceDE w:val="0"/>
        <w:autoSpaceDN w:val="0"/>
        <w:adjustRightInd w:val="0"/>
        <w:spacing w:line="360" w:lineRule="auto"/>
        <w:ind w:firstLine="480" w:firstLineChars="200"/>
        <w:jc w:val="left"/>
        <w:rPr>
          <w:rFonts w:hint="eastAsia" w:ascii="仿宋" w:hAnsi="仿宋"/>
          <w:sz w:val="24"/>
          <w:szCs w:val="28"/>
        </w:rPr>
      </w:pPr>
      <w:r>
        <w:rPr>
          <w:rFonts w:hint="eastAsia" w:ascii="仿宋" w:hAnsi="仿宋"/>
          <w:sz w:val="24"/>
          <w:szCs w:val="28"/>
        </w:rPr>
        <w:t>神华国华广投（北海）发电有限责任公司5G专网项目</w:t>
      </w:r>
    </w:p>
    <w:p w14:paraId="222916AC">
      <w:pPr>
        <w:pStyle w:val="3"/>
        <w:numPr>
          <w:ilvl w:val="1"/>
          <w:numId w:val="2"/>
        </w:numPr>
        <w:rPr>
          <w:sz w:val="28"/>
          <w:szCs w:val="28"/>
        </w:rPr>
      </w:pPr>
      <w:bookmarkStart w:id="4" w:name="_Toc144073319"/>
      <w:bookmarkStart w:id="5" w:name="_Toc486836678"/>
      <w:r>
        <w:rPr>
          <w:rFonts w:hint="eastAsia"/>
          <w:sz w:val="28"/>
          <w:szCs w:val="28"/>
        </w:rPr>
        <w:t>应用内容简介</w:t>
      </w:r>
      <w:bookmarkEnd w:id="4"/>
      <w:bookmarkEnd w:id="5"/>
    </w:p>
    <w:p w14:paraId="1D57829A">
      <w:pPr>
        <w:spacing w:line="360" w:lineRule="auto"/>
        <w:ind w:firstLine="480" w:firstLineChars="200"/>
        <w:rPr>
          <w:rFonts w:hint="eastAsia" w:ascii="仿宋" w:hAnsi="仿宋"/>
          <w:sz w:val="24"/>
          <w:szCs w:val="28"/>
        </w:rPr>
      </w:pPr>
      <w:r>
        <w:rPr>
          <w:rFonts w:hint="eastAsia" w:ascii="仿宋" w:hAnsi="仿宋"/>
          <w:sz w:val="24"/>
          <w:szCs w:val="28"/>
        </w:rPr>
        <w:t>神华国华广投北海神华电厂是国家能源集团下属企业，计划在北海市北海神华厂区区进行厂区二期扩建工程，按照客户规划拟将北海神华电厂打造为国华智能电站建设示范项目。</w:t>
      </w:r>
    </w:p>
    <w:p w14:paraId="413A17AD">
      <w:pPr>
        <w:spacing w:line="360" w:lineRule="auto"/>
        <w:ind w:firstLine="480" w:firstLineChars="200"/>
        <w:rPr>
          <w:rFonts w:hint="eastAsia" w:ascii="仿宋" w:hAnsi="仿宋"/>
          <w:sz w:val="24"/>
          <w:szCs w:val="28"/>
        </w:rPr>
      </w:pPr>
      <w:r>
        <w:rPr>
          <w:rFonts w:hint="eastAsia" w:ascii="仿宋" w:hAnsi="仿宋"/>
          <w:sz w:val="24"/>
          <w:szCs w:val="28"/>
        </w:rPr>
        <w:t>以5G专网、高度自动化、智能化设备为基础，采用先进管控策略和信息处理手段，保证设备动作灵活可靠、状态实时感知、各工况自动适应，实现全过程自动控制、全系统信息融合，全生命周期高效管理；以“减少运行人员、提高机组效率、提升管理安全水平”为主线，通过大数据平台对生产数据整理、分析，形成高价值的数据资源和标准化的业务流程，促进“运行规范化、检修标准化、专业纵深化”，推动安全风险预控管理体系完善、落地，最终实现北海神华电厂智能生产，同时为国华电力提供重要业务及生产数据，最终为国华电力实现智慧企业添砖加瓦。</w:t>
      </w:r>
    </w:p>
    <w:p w14:paraId="6CAB177E">
      <w:pPr>
        <w:spacing w:line="360" w:lineRule="auto"/>
        <w:ind w:firstLine="480" w:firstLineChars="200"/>
        <w:rPr>
          <w:rFonts w:hint="eastAsia" w:ascii="仿宋" w:hAnsi="仿宋"/>
          <w:sz w:val="24"/>
          <w:szCs w:val="28"/>
        </w:rPr>
      </w:pPr>
      <w:r>
        <w:rPr>
          <w:rFonts w:hint="eastAsia" w:ascii="仿宋" w:hAnsi="仿宋"/>
          <w:sz w:val="24"/>
          <w:szCs w:val="28"/>
        </w:rPr>
        <w:t>目前厂内的无线、有线网络已无法满足日后智慧电厂的应用实际需求，鉴于5G技术在工业互联网领域的应用，以及国家层面所倡导的“新基建”、“5G+工业互联网”的要求，北海神华电厂提出了5G专网的建设需求，我司拟在电厂内实现5G专网覆盖，以满足厂内智能应用的需求，提升日常工作效率，保障生产安全。</w:t>
      </w:r>
    </w:p>
    <w:p w14:paraId="7AB14032">
      <w:pPr>
        <w:pStyle w:val="3"/>
        <w:numPr>
          <w:ilvl w:val="1"/>
          <w:numId w:val="2"/>
        </w:numPr>
        <w:rPr>
          <w:sz w:val="28"/>
          <w:szCs w:val="28"/>
        </w:rPr>
      </w:pPr>
      <w:bookmarkStart w:id="6" w:name="_Toc486836679"/>
      <w:bookmarkStart w:id="7" w:name="_Toc144073320"/>
      <w:r>
        <w:rPr>
          <w:rFonts w:hint="eastAsia"/>
          <w:sz w:val="28"/>
          <w:szCs w:val="28"/>
        </w:rPr>
        <w:t>所属行业</w:t>
      </w:r>
      <w:bookmarkEnd w:id="6"/>
      <w:bookmarkEnd w:id="7"/>
    </w:p>
    <w:p w14:paraId="7CF8AF14">
      <w:pPr>
        <w:tabs>
          <w:tab w:val="left" w:pos="851"/>
        </w:tabs>
        <w:autoSpaceDE w:val="0"/>
        <w:autoSpaceDN w:val="0"/>
        <w:adjustRightInd w:val="0"/>
        <w:spacing w:line="360" w:lineRule="auto"/>
        <w:ind w:firstLine="480" w:firstLineChars="200"/>
        <w:jc w:val="left"/>
        <w:rPr>
          <w:rFonts w:hint="eastAsia" w:ascii="仿宋" w:hAnsi="仿宋"/>
          <w:sz w:val="24"/>
          <w:szCs w:val="28"/>
        </w:rPr>
      </w:pPr>
      <w:r>
        <w:rPr>
          <w:rFonts w:hint="eastAsia" w:ascii="仿宋" w:hAnsi="仿宋"/>
          <w:sz w:val="24"/>
          <w:szCs w:val="28"/>
        </w:rPr>
        <w:t>能源电力</w:t>
      </w:r>
    </w:p>
    <w:p w14:paraId="6B618846">
      <w:pPr>
        <w:pStyle w:val="3"/>
        <w:numPr>
          <w:ilvl w:val="1"/>
          <w:numId w:val="2"/>
        </w:numPr>
        <w:rPr>
          <w:sz w:val="28"/>
          <w:szCs w:val="28"/>
        </w:rPr>
      </w:pPr>
      <w:bookmarkStart w:id="8" w:name="_Toc486836682"/>
      <w:bookmarkStart w:id="9" w:name="_Toc144073321"/>
      <w:r>
        <w:rPr>
          <w:rFonts w:hint="eastAsia"/>
          <w:sz w:val="28"/>
          <w:szCs w:val="28"/>
        </w:rPr>
        <w:t>业务场景</w:t>
      </w:r>
      <w:bookmarkEnd w:id="8"/>
      <w:bookmarkEnd w:id="9"/>
    </w:p>
    <w:p w14:paraId="17B5E8EE">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属于增强移动宽带（eMBB）场景。</w:t>
      </w:r>
    </w:p>
    <w:p w14:paraId="38B5C3E9">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1.5G+AI视频安防：基于可见光、红外摄像头等视频监控设备，实时采集视频监控画面，通过5G网络回传至视频监控平台，可进行图像自主识别，重点针对发电厂内人、机、料、法、环生产五要素进行安全管控，降低企业生产安全风险。</w:t>
      </w:r>
    </w:p>
    <w:p w14:paraId="30298621">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利用5G网络的高清视频回传、数据实时采集、以及AI智能分析检测，及时发现厂内设备及管线的故障（例如冒烟、漏气、失火等等），收到危险或破损预警后可及时安排专业人员前往解决，提高生产效率、降低人员安全风险。</w:t>
      </w:r>
    </w:p>
    <w:p w14:paraId="440B7A94">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5G高清相机+AI，增加特征识别点，提高AI识别的距离和灵敏度，更有效的识别工人的规范操作，实时识别风险，通过大喇叭、对讲机、人员调度等方式，及时纠正和处理。</w:t>
      </w:r>
    </w:p>
    <w:p w14:paraId="076A4A66">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 xml:space="preserve"> 2.5G+AI设备在线点检和维护：工作中的良好维护和正确维护，可以使设备运行时间增加，减少故障，确保工厂设备的可靠性。系统通过周期、运行时间、事件和测量等预防性维护策略，进行定期维修、维护，分解维修计划，通过检修路径的设置实现5G在线设备检测和AI预测性维护，并能自动生成预防性维修工单，为需要计划维护的设备建立详细的维护计划策略，提高设备维护维修中的预见性和计划性，将电厂职员尤其是生产人员从庞大的紧急性维修的工作重担下解放出来。</w:t>
      </w:r>
    </w:p>
    <w:p w14:paraId="13B4DB3D">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 xml:space="preserve"> 根据生产设备的运维需求，5G+AI设备在线点检和维护功能实现集团/分公司一体化部署，对各厂区关键设备加装有线或无线振动温度传感器，并可通过工业协议接入设备的运行工况等数据。通过生产设备的在线监测和监测数据的多端存储，达到集团化的统一管理，从而实现设备的智慧运维和故障诊断。</w:t>
      </w:r>
    </w:p>
    <w:p w14:paraId="1C4B5EC5">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3.5G智慧终端巡检：巡检是电厂运行的第一要务，巡检能够及时发现设备的异常情况，避免系统停车和事故的发生。巡检需要查看运行状况和仪表的状态显示（压力、温度、油位等）、运转噪声、运转振动，以及设备的跑冒滴漏情况。当前巡检多数为人工记录结果，巡检过程难以管理，结果难以应用。智能巡检采用5G通信技术实现产品跟踪，保障巡检信息实时传输，无需人工整理，提高工作效率、杜绝数据造假；还能高效监督巡检工作执行情况，避免漏检；同时确保中控中心与巡检人员信息互通。基于5G巡检仪，可以满足企业巡检数据不出园区的诉求，并支持视频对讲，提升沟通效率。</w:t>
      </w:r>
    </w:p>
    <w:p w14:paraId="127F7A78">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4.5G无人机智能巡检：5G无人机可借助激光雷达生成三维地图，并按照预设航线，借助可见光、红外摄像头等硬件设备，采集预设点位的可见光图像、红外图像数据信息，自主生成巡检报告，同时通过5G网络回传至巡检平台。通过5G+无人机的高速率回传、低延时控制针对空旷区域实现智能巡检，实现自主识别及告警，及时发现发电厂内不规范行为及设备管线故障等，降低人员日常工作检查量，加大巡检范围，提升巡检效率，提升整个厂区的安全性。</w:t>
      </w:r>
    </w:p>
    <w:p w14:paraId="3F8A0B56">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5.5G机器人巡检：巡检机器人可按照预定路线，借助可见光、红外摄像头、传感器等硬件设备，采集重点区域（如：升压站/主变区、配电房、输煤皮带等）内预设点位的图像、声音等数据信息，通过5G网络回传至巡检平台，实现自主巡检、自动避障、自主识别及告警，满足支持设备的跑冒滴漏检测、外观缺陷检测、关键部位红外测温、断路器及隔离开关的分合状态检测、变压器等充油设备的油位计检测、SF6气体压力等表计读数等内容的多种巡检需求，降低人工巡检安全隐患，提升巡检效率。</w:t>
      </w:r>
    </w:p>
    <w:p w14:paraId="2DE1AF7F">
      <w:pPr>
        <w:keepNext/>
        <w:tabs>
          <w:tab w:val="left" w:pos="851"/>
        </w:tabs>
        <w:autoSpaceDE w:val="0"/>
        <w:autoSpaceDN w:val="0"/>
        <w:adjustRightInd w:val="0"/>
        <w:spacing w:line="360" w:lineRule="auto"/>
        <w:jc w:val="left"/>
        <w:rPr>
          <w:rFonts w:hint="eastAsia" w:ascii="仿宋" w:hAnsi="仿宋"/>
          <w:sz w:val="24"/>
          <w:szCs w:val="28"/>
        </w:rPr>
      </w:pPr>
      <w:r>
        <w:rPr>
          <w:rFonts w:hint="eastAsia" w:ascii="仿宋" w:hAnsi="仿宋"/>
          <w:sz w:val="24"/>
          <w:szCs w:val="28"/>
        </w:rPr>
        <w:t xml:space="preserve"> 6.5G智能燃料:5G智能燃料管理平台借助5G、物联网、RFID、GPRS等技术将煤、煤场、运输、设备、人通过系统有机集合，实现燃料全方位智能高效管理。</w:t>
      </w:r>
    </w:p>
    <w:p w14:paraId="46165907">
      <w:pPr>
        <w:keepNext/>
        <w:tabs>
          <w:tab w:val="left" w:pos="851"/>
        </w:tabs>
        <w:autoSpaceDE w:val="0"/>
        <w:autoSpaceDN w:val="0"/>
        <w:adjustRightInd w:val="0"/>
        <w:spacing w:line="360" w:lineRule="auto"/>
        <w:jc w:val="left"/>
      </w:pPr>
      <w:r>
        <w:rPr>
          <w:rFonts w:hint="eastAsia" w:ascii="仿宋" w:hAnsi="仿宋"/>
          <w:sz w:val="24"/>
          <w:szCs w:val="28"/>
        </w:rPr>
        <w:t xml:space="preserve"> 智能燃料管控涵盖智能化应用、设备物联两个层面。在设备物联层面实现计量设备、采样设备、制样设备、化验设备、煤场设备、样品设备的集成，保证燃料数据的连贯和完整；在智能化应用层面支持汽车运煤、火车运煤、轮船运煤、汽车运水泥、场外车辆调度及与车联网集成，保证燃料数据的真实和可靠。</w:t>
      </w:r>
    </w:p>
    <w:p w14:paraId="62623CBB">
      <w:pPr>
        <w:pStyle w:val="3"/>
        <w:numPr>
          <w:ilvl w:val="1"/>
          <w:numId w:val="2"/>
        </w:numPr>
        <w:rPr>
          <w:sz w:val="28"/>
          <w:szCs w:val="28"/>
        </w:rPr>
      </w:pPr>
      <w:bookmarkStart w:id="10" w:name="_Toc144073322"/>
      <w:bookmarkStart w:id="11" w:name="_Toc486836683"/>
      <w:r>
        <w:rPr>
          <w:rFonts w:hint="eastAsia"/>
          <w:sz w:val="28"/>
          <w:szCs w:val="28"/>
        </w:rPr>
        <w:t>应用规模</w:t>
      </w:r>
      <w:bookmarkEnd w:id="10"/>
      <w:bookmarkEnd w:id="11"/>
      <w:r>
        <w:rPr>
          <w:sz w:val="28"/>
          <w:szCs w:val="28"/>
        </w:rPr>
        <w:fldChar w:fldCharType="begin"/>
      </w:r>
      <w:r>
        <w:rPr>
          <w:sz w:val="28"/>
          <w:szCs w:val="28"/>
        </w:rPr>
        <w:instrText xml:space="preserve"> LINK Excel.Sheet.12 "D:\\资料文件整理\\测评\\测试文件\\5G安全评估报告\\5G安全评估表.xlsx" "Sheet1!R1C1:R7C5" \a \f 4 \h  \* MERGEFORMAT </w:instrText>
      </w:r>
      <w:r>
        <w:rPr>
          <w:sz w:val="28"/>
          <w:szCs w:val="28"/>
        </w:rPr>
        <w:fldChar w:fldCharType="end"/>
      </w:r>
    </w:p>
    <w:p w14:paraId="6DC0ADF1">
      <w:pPr>
        <w:tabs>
          <w:tab w:val="left" w:pos="851"/>
        </w:tabs>
        <w:autoSpaceDE w:val="0"/>
        <w:autoSpaceDN w:val="0"/>
        <w:adjustRightInd w:val="0"/>
        <w:spacing w:line="360" w:lineRule="auto"/>
        <w:ind w:firstLine="440" w:firstLineChars="200"/>
        <w:jc w:val="left"/>
        <w:rPr>
          <w:rFonts w:hint="eastAsia" w:ascii="仿宋" w:hAnsi="仿宋"/>
          <w:sz w:val="24"/>
          <w:szCs w:val="28"/>
        </w:rPr>
      </w:pPr>
      <w:r>
        <w:rPr>
          <w:rFonts w:hint="eastAsia" w:ascii="仿宋" w:hAnsi="仿宋"/>
          <w:sz w:val="22"/>
          <w:szCs w:val="32"/>
        </w:rPr>
        <w:t>宏站无线设备包括1台华为BBU，5台华为AAU，3台APP服务器。终端包括80台CPE，20台5G高清摄像机，共计开通100张物联网卡。</w:t>
      </w:r>
    </w:p>
    <w:p w14:paraId="13DDF8DB">
      <w:pPr>
        <w:pStyle w:val="3"/>
        <w:numPr>
          <w:ilvl w:val="1"/>
          <w:numId w:val="2"/>
        </w:numPr>
        <w:rPr>
          <w:sz w:val="28"/>
          <w:szCs w:val="28"/>
        </w:rPr>
      </w:pPr>
      <w:bookmarkStart w:id="12" w:name="_Toc144073323"/>
      <w:r>
        <w:rPr>
          <w:rFonts w:hint="eastAsia"/>
          <w:sz w:val="28"/>
          <w:szCs w:val="28"/>
        </w:rPr>
        <w:t>应用类型</w:t>
      </w:r>
      <w:bookmarkEnd w:id="12"/>
    </w:p>
    <w:p w14:paraId="45A0983D">
      <w:pPr>
        <w:pStyle w:val="12"/>
        <w:ind w:firstLine="440" w:firstLineChars="200"/>
        <w:jc w:val="left"/>
        <w:rPr>
          <w:rFonts w:hint="eastAsia"/>
          <w:sz w:val="22"/>
          <w:szCs w:val="18"/>
        </w:rPr>
      </w:pPr>
      <w:r>
        <w:rPr>
          <w:rFonts w:hint="eastAsia"/>
          <w:sz w:val="22"/>
          <w:szCs w:val="18"/>
        </w:rPr>
        <w:t>包括视频监控类应用。辅以配备机器学习行为模型进行实时识别。本项目共需要进行3种行为训练，分别位“安全帽+工作服检测”、吸烟行为、睡岗行为，每个模型采集500-1000张图片进行AI训练，在系统中建立行为模型，当系统捕捉到违规行为时，可自动识别，系统弹框预警。</w:t>
      </w:r>
    </w:p>
    <w:p w14:paraId="3CFD3C38">
      <w:pPr>
        <w:pStyle w:val="12"/>
        <w:ind w:firstLine="440" w:firstLineChars="200"/>
        <w:rPr>
          <w:rFonts w:hint="eastAsia"/>
          <w:sz w:val="22"/>
          <w:szCs w:val="18"/>
        </w:rPr>
      </w:pPr>
      <w:r>
        <w:rPr>
          <w:sz w:val="22"/>
          <w:szCs w:val="18"/>
        </w:rPr>
        <w:t xml:space="preserve"> </w:t>
      </w:r>
      <w:bookmarkStart w:id="29" w:name="_GoBack"/>
      <w:bookmarkEnd w:id="29"/>
    </w:p>
    <w:p w14:paraId="59FC04F0">
      <w:pPr>
        <w:pStyle w:val="12"/>
        <w:ind w:firstLine="440" w:firstLineChars="200"/>
        <w:rPr>
          <w:rFonts w:hint="eastAsia"/>
          <w:sz w:val="22"/>
          <w:szCs w:val="18"/>
        </w:rPr>
      </w:pPr>
      <w:r>
        <w:rPr>
          <w:rFonts w:hint="eastAsia"/>
          <w:sz w:val="22"/>
          <w:szCs w:val="18"/>
        </w:rPr>
        <w:t>图 1 业务组网图</w:t>
      </w:r>
    </w:p>
    <w:p w14:paraId="345647CD">
      <w:pPr>
        <w:pStyle w:val="3"/>
        <w:numPr>
          <w:ilvl w:val="1"/>
          <w:numId w:val="2"/>
        </w:numPr>
        <w:rPr>
          <w:sz w:val="28"/>
          <w:szCs w:val="28"/>
        </w:rPr>
      </w:pPr>
      <w:bookmarkStart w:id="13" w:name="_Toc144073324"/>
      <w:r>
        <w:rPr>
          <w:rFonts w:hint="eastAsia"/>
          <w:sz w:val="28"/>
          <w:szCs w:val="28"/>
        </w:rPr>
        <w:t>行业用户身份认证情况</w:t>
      </w:r>
      <w:bookmarkEnd w:id="13"/>
    </w:p>
    <w:p w14:paraId="6D0D4A6D">
      <w:pPr>
        <w:spacing w:line="360" w:lineRule="auto"/>
        <w:ind w:firstLine="480" w:firstLineChars="200"/>
        <w:rPr>
          <w:rFonts w:hint="eastAsia" w:ascii="仿宋" w:hAnsi="仿宋"/>
          <w:sz w:val="24"/>
          <w:szCs w:val="28"/>
        </w:rPr>
      </w:pPr>
      <w:r>
        <w:rPr>
          <w:rFonts w:hint="eastAsia" w:ascii="仿宋" w:hAnsi="仿宋"/>
          <w:sz w:val="24"/>
          <w:szCs w:val="28"/>
        </w:rPr>
        <w:t>该业务单位经营许可证如下。</w:t>
      </w:r>
    </w:p>
    <w:p w14:paraId="31ED3853">
      <w:pPr>
        <w:spacing w:line="360" w:lineRule="auto"/>
        <w:ind w:firstLine="420" w:firstLineChars="200"/>
        <w:jc w:val="center"/>
        <w:rPr>
          <w:sz w:val="20"/>
          <w:szCs w:val="22"/>
        </w:rPr>
      </w:pPr>
      <w:r>
        <w:rPr>
          <w:rFonts w:hint="eastAsia" w:ascii="仿宋_GB2312" w:eastAsia="仿宋_GB2312"/>
        </w:rPr>
        <w:drawing>
          <wp:inline distT="0" distB="0" distL="0" distR="0">
            <wp:extent cx="5600700" cy="3917950"/>
            <wp:effectExtent l="0" t="0" r="0" b="6350"/>
            <wp:docPr id="8" name="图片 8"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文本&#10;&#10;AI 生成的内容可能不正确。"/>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00700" cy="3917950"/>
                    </a:xfrm>
                    <a:prstGeom prst="rect">
                      <a:avLst/>
                    </a:prstGeom>
                  </pic:spPr>
                </pic:pic>
              </a:graphicData>
            </a:graphic>
          </wp:inline>
        </w:drawing>
      </w:r>
    </w:p>
    <w:p w14:paraId="7496A463">
      <w:pPr>
        <w:spacing w:line="360" w:lineRule="auto"/>
        <w:ind w:firstLine="400" w:firstLineChars="200"/>
        <w:jc w:val="center"/>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sz w:val="20"/>
          <w:szCs w:val="22"/>
        </w:rPr>
        <w:t xml:space="preserve">图 </w:t>
      </w:r>
      <w:r>
        <w:rPr>
          <w:sz w:val="20"/>
          <w:szCs w:val="22"/>
        </w:rPr>
        <w:fldChar w:fldCharType="begin"/>
      </w:r>
      <w:r>
        <w:rPr>
          <w:sz w:val="20"/>
          <w:szCs w:val="22"/>
        </w:rPr>
        <w:instrText xml:space="preserve"> </w:instrText>
      </w:r>
      <w:r>
        <w:rPr>
          <w:rFonts w:hint="eastAsia"/>
          <w:sz w:val="20"/>
          <w:szCs w:val="22"/>
        </w:rPr>
        <w:instrText xml:space="preserve">SEQ 图 \* ARABIC</w:instrText>
      </w:r>
      <w:r>
        <w:rPr>
          <w:sz w:val="20"/>
          <w:szCs w:val="22"/>
        </w:rPr>
        <w:instrText xml:space="preserve"> </w:instrText>
      </w:r>
      <w:r>
        <w:rPr>
          <w:sz w:val="20"/>
          <w:szCs w:val="22"/>
        </w:rPr>
        <w:fldChar w:fldCharType="separate"/>
      </w:r>
      <w:r>
        <w:rPr>
          <w:sz w:val="20"/>
          <w:szCs w:val="22"/>
        </w:rPr>
        <w:t>2</w:t>
      </w:r>
      <w:r>
        <w:rPr>
          <w:sz w:val="20"/>
          <w:szCs w:val="22"/>
        </w:rPr>
        <w:fldChar w:fldCharType="end"/>
      </w:r>
      <w:r>
        <w:rPr>
          <w:sz w:val="20"/>
          <w:szCs w:val="22"/>
        </w:rPr>
        <w:t xml:space="preserve"> </w:t>
      </w:r>
      <w:r>
        <w:rPr>
          <w:rFonts w:hint="eastAsia"/>
          <w:sz w:val="20"/>
          <w:szCs w:val="22"/>
        </w:rPr>
        <w:t>经营许可证</w:t>
      </w:r>
    </w:p>
    <w:p w14:paraId="522D5ACE">
      <w:pPr>
        <w:pStyle w:val="3"/>
        <w:numPr>
          <w:ilvl w:val="1"/>
          <w:numId w:val="2"/>
        </w:numPr>
        <w:rPr>
          <w:sz w:val="28"/>
          <w:szCs w:val="28"/>
        </w:rPr>
      </w:pPr>
      <w:bookmarkStart w:id="14" w:name="_Toc144073325"/>
      <w:r>
        <w:rPr>
          <w:rFonts w:hint="eastAsia"/>
          <w:sz w:val="28"/>
          <w:szCs w:val="28"/>
        </w:rPr>
        <w:t>设备及网络部署位置</w:t>
      </w:r>
      <w:bookmarkEnd w:id="14"/>
    </w:p>
    <w:p w14:paraId="31017FF5">
      <w:pPr>
        <w:rPr>
          <w:rFonts w:hint="eastAsia" w:ascii="仿宋" w:hAnsi="仿宋"/>
          <w:sz w:val="22"/>
          <w:szCs w:val="32"/>
        </w:rPr>
      </w:pPr>
      <w:r>
        <w:rPr>
          <w:rFonts w:hint="eastAsia" w:ascii="仿宋" w:hAnsi="仿宋"/>
          <w:sz w:val="22"/>
          <w:szCs w:val="32"/>
        </w:rPr>
        <w:t>UPF与MEC部署在客户园区机房内，其余设备部署在大区。</w:t>
      </w:r>
    </w:p>
    <w:p w14:paraId="21969BCB">
      <w:pPr>
        <w:rPr>
          <w:rFonts w:hint="eastAsia" w:ascii="仿宋" w:hAnsi="仿宋"/>
          <w:sz w:val="22"/>
          <w:szCs w:val="32"/>
        </w:rPr>
      </w:pPr>
      <w:r>
        <w:rPr>
          <w:rFonts w:hint="eastAsia" w:ascii="仿宋_GB2312" w:eastAsia="仿宋_GB2312"/>
        </w:rPr>
        <w:drawing>
          <wp:inline distT="0" distB="0" distL="114300" distR="114300">
            <wp:extent cx="5600700" cy="2707005"/>
            <wp:effectExtent l="0" t="0" r="0" b="0"/>
            <wp:docPr id="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图片包含 图形用户界面&#10;&#10;AI 生成的内容可能不正确。"/>
                    <pic:cNvPicPr>
                      <a:picLocks noChangeAspect="1"/>
                    </pic:cNvPicPr>
                  </pic:nvPicPr>
                  <pic:blipFill>
                    <a:blip r:embed="rId7"/>
                    <a:stretch>
                      <a:fillRect/>
                    </a:stretch>
                  </pic:blipFill>
                  <pic:spPr>
                    <a:xfrm>
                      <a:off x="0" y="0"/>
                      <a:ext cx="5600700" cy="2707005"/>
                    </a:xfrm>
                    <a:prstGeom prst="rect">
                      <a:avLst/>
                    </a:prstGeom>
                    <a:noFill/>
                    <a:ln>
                      <a:noFill/>
                    </a:ln>
                  </pic:spPr>
                </pic:pic>
              </a:graphicData>
            </a:graphic>
          </wp:inline>
        </w:drawing>
      </w:r>
    </w:p>
    <w:p w14:paraId="29E380A8">
      <w:pPr>
        <w:pStyle w:val="12"/>
        <w:rPr>
          <w:rFonts w:hint="eastAsia"/>
        </w:rPr>
      </w:pPr>
      <w:r>
        <w:rPr>
          <w:rFonts w:hint="eastAsia" w:ascii="仿宋_GB2312" w:eastAsia="仿宋_GB2312"/>
        </w:rPr>
        <w:t>设备部署位置</w:t>
      </w:r>
    </w:p>
    <w:p w14:paraId="17CB7291">
      <w:pPr>
        <w:pStyle w:val="3"/>
        <w:numPr>
          <w:ilvl w:val="1"/>
          <w:numId w:val="2"/>
        </w:numPr>
        <w:rPr>
          <w:sz w:val="28"/>
          <w:szCs w:val="28"/>
        </w:rPr>
      </w:pPr>
      <w:bookmarkStart w:id="15" w:name="_Toc144073326"/>
      <w:r>
        <w:rPr>
          <w:rFonts w:hint="eastAsia"/>
          <w:sz w:val="28"/>
          <w:szCs w:val="28"/>
        </w:rPr>
        <w:t>切片类型</w:t>
      </w:r>
      <w:bookmarkEnd w:id="15"/>
    </w:p>
    <w:p w14:paraId="72F6EDBA">
      <w:pPr>
        <w:spacing w:line="360" w:lineRule="auto"/>
        <w:ind w:firstLine="420"/>
        <w:rPr>
          <w:rFonts w:hint="eastAsia" w:ascii="仿宋" w:hAnsi="仿宋"/>
          <w:sz w:val="24"/>
          <w:szCs w:val="28"/>
        </w:rPr>
      </w:pPr>
      <w:r>
        <w:rPr>
          <w:rFonts w:hint="eastAsia" w:ascii="仿宋" w:hAnsi="仿宋"/>
          <w:sz w:val="24"/>
          <w:szCs w:val="28"/>
        </w:rPr>
        <w:t>该项目未配置并使用特殊切片，故不涉及切片类型。</w:t>
      </w:r>
    </w:p>
    <w:p w14:paraId="060AFC99">
      <w:pPr>
        <w:spacing w:line="360" w:lineRule="auto"/>
        <w:ind w:firstLine="420"/>
        <w:rPr>
          <w:rFonts w:hint="eastAsia" w:ascii="仿宋" w:hAnsi="仿宋"/>
          <w:sz w:val="24"/>
          <w:szCs w:val="28"/>
        </w:rPr>
      </w:pPr>
      <w:r>
        <w:rPr>
          <w:rFonts w:hint="eastAsia" w:ascii="仿宋" w:hAnsi="仿宋"/>
          <w:sz w:val="24"/>
          <w:szCs w:val="28"/>
        </w:rPr>
        <w:t>该项目通过配置独立专用DNN、专用的宏站及室分单元实现隔离和资源专享。</w:t>
      </w:r>
    </w:p>
    <w:p w14:paraId="6E892F27">
      <w:pPr>
        <w:pStyle w:val="3"/>
        <w:numPr>
          <w:ilvl w:val="1"/>
          <w:numId w:val="2"/>
        </w:numPr>
        <w:rPr>
          <w:sz w:val="28"/>
          <w:szCs w:val="28"/>
        </w:rPr>
      </w:pPr>
      <w:bookmarkStart w:id="16" w:name="_Toc144073327"/>
      <w:r>
        <w:rPr>
          <w:rFonts w:hint="eastAsia"/>
          <w:sz w:val="28"/>
          <w:szCs w:val="28"/>
        </w:rPr>
        <w:t>专网模式</w:t>
      </w:r>
      <w:bookmarkEnd w:id="16"/>
    </w:p>
    <w:p w14:paraId="1FE2E681">
      <w:pPr>
        <w:spacing w:line="360" w:lineRule="auto"/>
        <w:ind w:firstLine="480" w:firstLineChars="200"/>
        <w:rPr>
          <w:rFonts w:hint="eastAsia" w:ascii="仿宋" w:hAnsi="仿宋"/>
          <w:sz w:val="24"/>
          <w:szCs w:val="28"/>
        </w:rPr>
      </w:pPr>
      <w:r>
        <w:rPr>
          <w:rFonts w:hint="eastAsia" w:ascii="仿宋" w:hAnsi="仿宋"/>
          <w:sz w:val="24"/>
          <w:szCs w:val="28"/>
        </w:rPr>
        <w:t>该项目属于中国移动尊享模式行业专网，独立建设部署了专用的基站，通过数通设备接入大网共享型UPF。</w:t>
      </w:r>
    </w:p>
    <w:p w14:paraId="5EB195BD">
      <w:pPr>
        <w:spacing w:line="360" w:lineRule="auto"/>
        <w:ind w:firstLine="480" w:firstLineChars="200"/>
        <w:rPr>
          <w:rFonts w:hint="eastAsia" w:ascii="仿宋" w:hAnsi="仿宋"/>
          <w:sz w:val="24"/>
          <w:szCs w:val="28"/>
        </w:rPr>
      </w:pPr>
      <w:r>
        <w:rPr>
          <w:rFonts w:hint="eastAsia" w:ascii="仿宋" w:hAnsi="仿宋"/>
          <w:sz w:val="24"/>
          <w:szCs w:val="28"/>
        </w:rPr>
        <w:t>属于混合共用模式。</w:t>
      </w:r>
    </w:p>
    <w:p w14:paraId="5DCA5A4F">
      <w:pPr>
        <w:pStyle w:val="3"/>
        <w:numPr>
          <w:ilvl w:val="1"/>
          <w:numId w:val="2"/>
        </w:numPr>
        <w:rPr>
          <w:sz w:val="28"/>
          <w:szCs w:val="28"/>
        </w:rPr>
      </w:pPr>
      <w:bookmarkStart w:id="17" w:name="_Toc144073328"/>
      <w:r>
        <w:rPr>
          <w:rFonts w:hint="eastAsia"/>
          <w:sz w:val="28"/>
          <w:szCs w:val="28"/>
        </w:rPr>
        <w:t>对公共安全的影响</w:t>
      </w:r>
      <w:bookmarkEnd w:id="17"/>
    </w:p>
    <w:p w14:paraId="36F7830F">
      <w:pPr>
        <w:spacing w:line="360" w:lineRule="auto"/>
        <w:ind w:firstLine="480" w:firstLineChars="200"/>
        <w:rPr>
          <w:rFonts w:hint="eastAsia" w:ascii="仿宋" w:hAnsi="仿宋"/>
          <w:sz w:val="24"/>
          <w:szCs w:val="28"/>
        </w:rPr>
      </w:pPr>
      <w:r>
        <w:rPr>
          <w:rFonts w:hint="eastAsia" w:ascii="仿宋" w:hAnsi="仿宋"/>
          <w:sz w:val="24"/>
          <w:szCs w:val="28"/>
        </w:rPr>
        <w:t>社会影响力：该项目专网只覆盖园区内，受到破坏后对国家安全、社会秩序、经济运行和公共利益基本无损害。</w:t>
      </w:r>
    </w:p>
    <w:p w14:paraId="506BA1AD">
      <w:pPr>
        <w:spacing w:line="360" w:lineRule="auto"/>
        <w:ind w:firstLine="480" w:firstLineChars="200"/>
        <w:rPr>
          <w:rFonts w:hint="eastAsia" w:ascii="仿宋" w:hAnsi="仿宋"/>
          <w:sz w:val="24"/>
          <w:szCs w:val="28"/>
        </w:rPr>
      </w:pPr>
      <w:r>
        <w:rPr>
          <w:rFonts w:hint="eastAsia" w:ascii="仿宋" w:hAnsi="仿宋"/>
          <w:sz w:val="24"/>
          <w:szCs w:val="28"/>
        </w:rPr>
        <w:t>服务重要性：该项目专网使用终端较少且不涉及核心业务与生产，被破坏后对较少的用户造成影响、且仅对较小的地区造成影响。</w:t>
      </w:r>
    </w:p>
    <w:p w14:paraId="4C2651C6">
      <w:pPr>
        <w:spacing w:line="360" w:lineRule="auto"/>
        <w:ind w:firstLine="480" w:firstLineChars="200"/>
        <w:rPr>
          <w:rFonts w:hint="eastAsia" w:ascii="仿宋" w:hAnsi="仿宋"/>
          <w:sz w:val="24"/>
          <w:szCs w:val="28"/>
        </w:rPr>
      </w:pPr>
      <w:r>
        <w:rPr>
          <w:rFonts w:hint="eastAsia" w:ascii="仿宋" w:hAnsi="仿宋"/>
          <w:sz w:val="24"/>
          <w:szCs w:val="28"/>
        </w:rPr>
        <w:t>规模和服务范围：该项目专网服务范围较小，服务用户数量较少，所提供的服务重要性较低，被破坏后对网络和业务运营商的合法权益损害较小。</w:t>
      </w:r>
    </w:p>
    <w:p w14:paraId="751BF04B">
      <w:pPr>
        <w:spacing w:line="360" w:lineRule="auto"/>
        <w:ind w:firstLine="480" w:firstLineChars="200"/>
        <w:rPr>
          <w:rFonts w:hint="eastAsia" w:ascii="仿宋" w:hAnsi="仿宋"/>
          <w:sz w:val="24"/>
          <w:szCs w:val="28"/>
        </w:rPr>
      </w:pPr>
      <w:r>
        <w:rPr>
          <w:rFonts w:hint="eastAsia" w:ascii="仿宋" w:hAnsi="仿宋"/>
          <w:sz w:val="24"/>
          <w:szCs w:val="28"/>
        </w:rPr>
        <w:t>综上所述，初步判断该项目对公共安全影响较小。</w:t>
      </w:r>
    </w:p>
    <w:p w14:paraId="4BDE6581">
      <w:pPr>
        <w:pStyle w:val="2"/>
        <w:numPr>
          <w:ilvl w:val="0"/>
          <w:numId w:val="2"/>
        </w:numPr>
        <w:rPr>
          <w:sz w:val="40"/>
          <w:szCs w:val="40"/>
        </w:rPr>
      </w:pPr>
      <w:bookmarkStart w:id="18" w:name="_Toc486836684"/>
      <w:bookmarkStart w:id="19" w:name="_Toc144073329"/>
      <w:r>
        <w:rPr>
          <w:rFonts w:hint="eastAsia"/>
          <w:sz w:val="40"/>
          <w:szCs w:val="40"/>
        </w:rPr>
        <w:t>安全评估情况</w:t>
      </w:r>
      <w:bookmarkEnd w:id="18"/>
      <w:bookmarkEnd w:id="19"/>
    </w:p>
    <w:p w14:paraId="2DE8F43C">
      <w:pPr>
        <w:pStyle w:val="3"/>
        <w:numPr>
          <w:ilvl w:val="1"/>
          <w:numId w:val="2"/>
        </w:numPr>
        <w:rPr>
          <w:sz w:val="28"/>
          <w:szCs w:val="28"/>
        </w:rPr>
      </w:pPr>
      <w:bookmarkStart w:id="20" w:name="_Toc144073330"/>
      <w:bookmarkStart w:id="21" w:name="_Toc486836685"/>
      <w:r>
        <w:rPr>
          <w:rFonts w:hint="eastAsia"/>
          <w:sz w:val="28"/>
          <w:szCs w:val="28"/>
        </w:rPr>
        <w:t>评估工作情况概述</w:t>
      </w:r>
      <w:bookmarkEnd w:id="20"/>
      <w:bookmarkEnd w:id="21"/>
    </w:p>
    <w:p w14:paraId="5CEE6AA0">
      <w:pPr>
        <w:spacing w:line="360" w:lineRule="auto"/>
        <w:ind w:firstLine="480" w:firstLineChars="200"/>
        <w:rPr>
          <w:rFonts w:hint="eastAsia" w:ascii="仿宋" w:hAnsi="仿宋"/>
          <w:sz w:val="24"/>
          <w:szCs w:val="28"/>
        </w:rPr>
      </w:pPr>
      <w:r>
        <w:rPr>
          <w:rFonts w:ascii="仿宋_GB2312" w:hAnsi="仿宋_GB2312" w:eastAsia="仿宋_GB2312" w:cs="仿宋_GB2312"/>
          <w:sz w:val="24"/>
          <w:szCs w:val="22"/>
        </w:rPr>
        <w:t>2</w:t>
      </w:r>
      <w:r>
        <w:rPr>
          <w:rFonts w:hint="eastAsia" w:ascii="仿宋_GB2312" w:hAnsi="仿宋_GB2312" w:eastAsia="仿宋_GB2312" w:cs="仿宋_GB2312"/>
          <w:sz w:val="24"/>
          <w:szCs w:val="22"/>
        </w:rPr>
        <w:t>02</w:t>
      </w:r>
      <w:r>
        <w:rPr>
          <w:rFonts w:ascii="仿宋_GB2312" w:hAnsi="仿宋_GB2312" w:eastAsia="仿宋_GB2312" w:cs="仿宋_GB2312"/>
          <w:sz w:val="24"/>
          <w:szCs w:val="22"/>
        </w:rPr>
        <w:t>3</w:t>
      </w:r>
      <w:r>
        <w:rPr>
          <w:rFonts w:hint="eastAsia" w:ascii="仿宋_GB2312" w:hAnsi="仿宋_GB2312" w:eastAsia="仿宋_GB2312" w:cs="仿宋_GB2312"/>
          <w:sz w:val="24"/>
          <w:szCs w:val="22"/>
        </w:rPr>
        <w:t>年</w:t>
      </w:r>
      <w:r>
        <w:rPr>
          <w:rFonts w:ascii="仿宋_GB2312" w:hAnsi="仿宋_GB2312" w:eastAsia="仿宋_GB2312" w:cs="仿宋_GB2312"/>
          <w:sz w:val="24"/>
          <w:szCs w:val="22"/>
        </w:rPr>
        <w:t>7</w:t>
      </w:r>
      <w:r>
        <w:rPr>
          <w:rFonts w:hint="eastAsia" w:ascii="仿宋_GB2312" w:hAnsi="仿宋_GB2312" w:eastAsia="仿宋_GB2312" w:cs="仿宋_GB2312"/>
          <w:sz w:val="24"/>
          <w:szCs w:val="22"/>
        </w:rPr>
        <w:t>月21日-</w:t>
      </w:r>
      <w:r>
        <w:rPr>
          <w:rFonts w:ascii="仿宋_GB2312" w:hAnsi="仿宋_GB2312" w:eastAsia="仿宋_GB2312" w:cs="仿宋_GB2312"/>
          <w:sz w:val="24"/>
          <w:szCs w:val="22"/>
        </w:rPr>
        <w:t>7</w:t>
      </w:r>
      <w:r>
        <w:rPr>
          <w:rFonts w:hint="eastAsia" w:ascii="仿宋_GB2312" w:hAnsi="仿宋_GB2312" w:eastAsia="仿宋_GB2312" w:cs="仿宋_GB2312"/>
          <w:sz w:val="24"/>
          <w:szCs w:val="22"/>
        </w:rPr>
        <w:t>月2</w:t>
      </w:r>
      <w:r>
        <w:rPr>
          <w:rFonts w:ascii="仿宋_GB2312" w:hAnsi="仿宋_GB2312" w:eastAsia="仿宋_GB2312" w:cs="仿宋_GB2312"/>
          <w:sz w:val="24"/>
          <w:szCs w:val="22"/>
        </w:rPr>
        <w:t>9</w:t>
      </w:r>
      <w:r>
        <w:rPr>
          <w:rFonts w:hint="eastAsia" w:ascii="仿宋_GB2312" w:hAnsi="仿宋_GB2312" w:eastAsia="仿宋_GB2312" w:cs="仿宋_GB2312"/>
          <w:sz w:val="24"/>
          <w:szCs w:val="22"/>
        </w:rPr>
        <w:t>日。</w:t>
      </w:r>
      <w:r>
        <w:rPr>
          <w:rFonts w:hint="eastAsia" w:ascii="仿宋_GB2312" w:hAnsi="仿宋_GB2312" w:eastAsia="仿宋_GB2312" w:cs="仿宋_GB2312"/>
          <w:color w:val="000000" w:themeColor="text1"/>
          <w:sz w:val="24"/>
          <w:szCs w:val="22"/>
          <w14:textFill>
            <w14:solidFill>
              <w14:schemeClr w14:val="tx1"/>
            </w14:solidFill>
          </w14:textFill>
        </w:rPr>
        <w:t>本阶段工作内容包括成立评估组并确定小组人员，在对网络等环境调研的基础上，确定评估范围并梳理所需资料，如技术文档、管理文档、设备列表等；收集调研业务情况，结合业务特点，选择业务适用的安全评估指标，明确业务评估范围内已有的安全管理措施和技术保障措施。</w:t>
      </w:r>
      <w:r>
        <w:rPr>
          <w:rFonts w:hint="eastAsia" w:ascii="仿宋" w:hAnsi="仿宋"/>
          <w:sz w:val="24"/>
          <w:szCs w:val="28"/>
        </w:rPr>
        <w:t>广西移动信息安全中心负责人，防城港分公司的集客部、网络部、客响中心以及技术合作方人员共同参与此次评估工作。</w:t>
      </w:r>
    </w:p>
    <w:p w14:paraId="417D6B3E">
      <w:pPr>
        <w:pStyle w:val="3"/>
        <w:numPr>
          <w:ilvl w:val="1"/>
          <w:numId w:val="2"/>
        </w:numPr>
        <w:rPr>
          <w:sz w:val="28"/>
          <w:szCs w:val="28"/>
        </w:rPr>
      </w:pPr>
      <w:bookmarkStart w:id="22" w:name="_Toc144073331"/>
      <w:bookmarkStart w:id="23" w:name="_Toc486836686"/>
      <w:r>
        <w:rPr>
          <w:rFonts w:hint="eastAsia"/>
          <w:sz w:val="28"/>
          <w:szCs w:val="28"/>
        </w:rPr>
        <w:t>评估人员组成</w:t>
      </w:r>
      <w:bookmarkEnd w:id="22"/>
      <w:bookmarkEnd w:id="23"/>
    </w:p>
    <w:tbl>
      <w:tblPr>
        <w:tblStyle w:val="21"/>
        <w:tblW w:w="896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835"/>
        <w:gridCol w:w="2693"/>
        <w:gridCol w:w="2024"/>
      </w:tblGrid>
      <w:tr w14:paraId="7FDA2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shd w:val="clear" w:color="auto" w:fill="auto"/>
          </w:tcPr>
          <w:p w14:paraId="038811AE">
            <w:pPr>
              <w:jc w:val="center"/>
              <w:rPr>
                <w:rFonts w:hint="eastAsia" w:ascii="仿宋" w:hAnsi="仿宋"/>
                <w:b/>
                <w:sz w:val="28"/>
                <w:szCs w:val="22"/>
              </w:rPr>
            </w:pPr>
            <w:r>
              <w:rPr>
                <w:rFonts w:hint="eastAsia" w:ascii="仿宋" w:hAnsi="仿宋"/>
                <w:b/>
                <w:sz w:val="28"/>
                <w:szCs w:val="22"/>
              </w:rPr>
              <w:t>姓名</w:t>
            </w:r>
          </w:p>
        </w:tc>
        <w:tc>
          <w:tcPr>
            <w:tcW w:w="2835" w:type="dxa"/>
            <w:shd w:val="clear" w:color="auto" w:fill="auto"/>
          </w:tcPr>
          <w:p w14:paraId="161ADFC2">
            <w:pPr>
              <w:jc w:val="center"/>
              <w:rPr>
                <w:rFonts w:hint="eastAsia" w:ascii="仿宋" w:hAnsi="仿宋"/>
                <w:b/>
                <w:sz w:val="28"/>
                <w:szCs w:val="22"/>
              </w:rPr>
            </w:pPr>
            <w:r>
              <w:rPr>
                <w:rFonts w:hint="eastAsia" w:ascii="仿宋" w:hAnsi="仿宋"/>
                <w:b/>
                <w:sz w:val="28"/>
                <w:szCs w:val="22"/>
              </w:rPr>
              <w:t>部门</w:t>
            </w:r>
          </w:p>
        </w:tc>
        <w:tc>
          <w:tcPr>
            <w:tcW w:w="2693" w:type="dxa"/>
            <w:shd w:val="clear" w:color="auto" w:fill="auto"/>
            <w:vAlign w:val="center"/>
          </w:tcPr>
          <w:p w14:paraId="2006DB03">
            <w:pPr>
              <w:jc w:val="center"/>
              <w:rPr>
                <w:rFonts w:hint="eastAsia" w:ascii="仿宋" w:hAnsi="仿宋"/>
                <w:b/>
                <w:sz w:val="28"/>
                <w:szCs w:val="22"/>
              </w:rPr>
            </w:pPr>
            <w:r>
              <w:rPr>
                <w:rFonts w:hint="eastAsia" w:ascii="仿宋" w:hAnsi="仿宋"/>
                <w:b/>
                <w:sz w:val="28"/>
                <w:szCs w:val="22"/>
              </w:rPr>
              <w:t>工作岗位</w:t>
            </w:r>
          </w:p>
        </w:tc>
        <w:tc>
          <w:tcPr>
            <w:tcW w:w="2024" w:type="dxa"/>
            <w:shd w:val="clear" w:color="auto" w:fill="auto"/>
          </w:tcPr>
          <w:p w14:paraId="420CCB25">
            <w:pPr>
              <w:jc w:val="center"/>
              <w:rPr>
                <w:rFonts w:hint="eastAsia" w:ascii="仿宋" w:hAnsi="仿宋"/>
                <w:b/>
                <w:sz w:val="28"/>
                <w:szCs w:val="22"/>
              </w:rPr>
            </w:pPr>
            <w:r>
              <w:rPr>
                <w:rFonts w:hint="eastAsia" w:ascii="仿宋" w:hAnsi="仿宋"/>
                <w:b/>
                <w:sz w:val="28"/>
                <w:szCs w:val="22"/>
              </w:rPr>
              <w:t>联系</w:t>
            </w:r>
            <w:r>
              <w:rPr>
                <w:rFonts w:ascii="仿宋" w:hAnsi="仿宋"/>
                <w:b/>
                <w:sz w:val="28"/>
                <w:szCs w:val="22"/>
              </w:rPr>
              <w:t>方式</w:t>
            </w:r>
          </w:p>
        </w:tc>
      </w:tr>
      <w:tr w14:paraId="3BD67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shd w:val="clear" w:color="auto" w:fill="auto"/>
            <w:vAlign w:val="center"/>
          </w:tcPr>
          <w:p w14:paraId="6F41493B">
            <w:pPr>
              <w:pStyle w:val="51"/>
              <w:rPr>
                <w:rFonts w:hint="eastAsia"/>
                <w:sz w:val="24"/>
                <w:szCs w:val="22"/>
              </w:rPr>
            </w:pPr>
            <w:r>
              <w:rPr>
                <w:rFonts w:hint="eastAsia"/>
                <w:sz w:val="24"/>
                <w:szCs w:val="22"/>
              </w:rPr>
              <w:t>黎峰</w:t>
            </w:r>
          </w:p>
        </w:tc>
        <w:tc>
          <w:tcPr>
            <w:tcW w:w="2835" w:type="dxa"/>
            <w:shd w:val="clear" w:color="auto" w:fill="auto"/>
            <w:vAlign w:val="center"/>
          </w:tcPr>
          <w:p w14:paraId="36A349E8">
            <w:pPr>
              <w:pStyle w:val="51"/>
              <w:rPr>
                <w:rFonts w:hint="eastAsia"/>
                <w:sz w:val="24"/>
                <w:szCs w:val="22"/>
              </w:rPr>
            </w:pPr>
            <w:r>
              <w:rPr>
                <w:rFonts w:hint="eastAsia"/>
                <w:sz w:val="24"/>
                <w:szCs w:val="22"/>
              </w:rPr>
              <w:t>中国移动广西公司信息安全中心</w:t>
            </w:r>
          </w:p>
        </w:tc>
        <w:tc>
          <w:tcPr>
            <w:tcW w:w="2693" w:type="dxa"/>
            <w:shd w:val="clear" w:color="auto" w:fill="auto"/>
            <w:vAlign w:val="center"/>
          </w:tcPr>
          <w:p w14:paraId="31570B4B">
            <w:pPr>
              <w:jc w:val="center"/>
              <w:rPr>
                <w:rFonts w:hint="eastAsia" w:ascii="仿宋" w:hAnsi="仿宋"/>
                <w:sz w:val="28"/>
                <w:szCs w:val="28"/>
              </w:rPr>
            </w:pPr>
            <w:r>
              <w:rPr>
                <w:rFonts w:hint="eastAsia" w:ascii="仿宋" w:hAnsi="仿宋"/>
                <w:sz w:val="28"/>
                <w:szCs w:val="28"/>
              </w:rPr>
              <w:t>网络安全主管</w:t>
            </w:r>
          </w:p>
        </w:tc>
        <w:tc>
          <w:tcPr>
            <w:tcW w:w="2024" w:type="dxa"/>
            <w:shd w:val="clear" w:color="auto" w:fill="auto"/>
            <w:vAlign w:val="center"/>
          </w:tcPr>
          <w:p w14:paraId="7359170E">
            <w:pPr>
              <w:pStyle w:val="51"/>
              <w:rPr>
                <w:rFonts w:hint="eastAsia"/>
                <w:sz w:val="24"/>
                <w:szCs w:val="22"/>
              </w:rPr>
            </w:pPr>
            <w:r>
              <w:rPr>
                <w:rFonts w:hint="eastAsia"/>
                <w:sz w:val="24"/>
                <w:szCs w:val="22"/>
              </w:rPr>
              <w:t>1</w:t>
            </w:r>
            <w:r>
              <w:rPr>
                <w:sz w:val="24"/>
                <w:szCs w:val="22"/>
              </w:rPr>
              <w:t>3617710924</w:t>
            </w:r>
          </w:p>
        </w:tc>
      </w:tr>
      <w:tr w14:paraId="1994A9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shd w:val="clear" w:color="auto" w:fill="auto"/>
            <w:vAlign w:val="center"/>
          </w:tcPr>
          <w:p w14:paraId="2E1282CD">
            <w:pPr>
              <w:pStyle w:val="51"/>
              <w:rPr>
                <w:rFonts w:hint="eastAsia"/>
                <w:sz w:val="24"/>
                <w:szCs w:val="22"/>
              </w:rPr>
            </w:pPr>
            <w:r>
              <w:rPr>
                <w:rFonts w:hint="eastAsia"/>
                <w:sz w:val="24"/>
                <w:szCs w:val="22"/>
              </w:rPr>
              <w:t>谢晓刚</w:t>
            </w:r>
          </w:p>
        </w:tc>
        <w:tc>
          <w:tcPr>
            <w:tcW w:w="2835" w:type="dxa"/>
            <w:shd w:val="clear" w:color="auto" w:fill="auto"/>
            <w:vAlign w:val="center"/>
          </w:tcPr>
          <w:p w14:paraId="1730CC8A">
            <w:pPr>
              <w:pStyle w:val="51"/>
              <w:rPr>
                <w:rFonts w:hint="eastAsia"/>
                <w:sz w:val="24"/>
                <w:szCs w:val="22"/>
              </w:rPr>
            </w:pPr>
            <w:r>
              <w:rPr>
                <w:rFonts w:hint="eastAsia"/>
                <w:sz w:val="24"/>
                <w:szCs w:val="22"/>
              </w:rPr>
              <w:t>评估人员</w:t>
            </w:r>
          </w:p>
        </w:tc>
        <w:tc>
          <w:tcPr>
            <w:tcW w:w="2693" w:type="dxa"/>
            <w:shd w:val="clear" w:color="auto" w:fill="auto"/>
            <w:vAlign w:val="center"/>
          </w:tcPr>
          <w:p w14:paraId="46238A59">
            <w:pPr>
              <w:jc w:val="center"/>
              <w:rPr>
                <w:rFonts w:hint="eastAsia" w:ascii="仿宋" w:hAnsi="仿宋"/>
                <w:sz w:val="28"/>
                <w:szCs w:val="28"/>
              </w:rPr>
            </w:pPr>
            <w:r>
              <w:rPr>
                <w:rFonts w:hint="eastAsia" w:ascii="仿宋" w:hAnsi="仿宋"/>
                <w:sz w:val="28"/>
                <w:szCs w:val="28"/>
              </w:rPr>
              <w:t>评估人员</w:t>
            </w:r>
          </w:p>
        </w:tc>
        <w:tc>
          <w:tcPr>
            <w:tcW w:w="2024" w:type="dxa"/>
            <w:shd w:val="clear" w:color="auto" w:fill="auto"/>
            <w:vAlign w:val="center"/>
          </w:tcPr>
          <w:p w14:paraId="5C7F455B">
            <w:pPr>
              <w:pStyle w:val="51"/>
              <w:rPr>
                <w:rFonts w:hint="eastAsia"/>
                <w:sz w:val="24"/>
                <w:szCs w:val="22"/>
              </w:rPr>
            </w:pPr>
            <w:r>
              <w:rPr>
                <w:rFonts w:hint="eastAsia"/>
                <w:sz w:val="24"/>
                <w:szCs w:val="22"/>
              </w:rPr>
              <w:t>1</w:t>
            </w:r>
            <w:r>
              <w:rPr>
                <w:sz w:val="24"/>
                <w:szCs w:val="22"/>
              </w:rPr>
              <w:t>7376573131</w:t>
            </w:r>
          </w:p>
        </w:tc>
      </w:tr>
      <w:tr w14:paraId="1F4BD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3" w:type="dxa"/>
            <w:shd w:val="clear" w:color="auto" w:fill="auto"/>
            <w:vAlign w:val="center"/>
          </w:tcPr>
          <w:p w14:paraId="7741D21D">
            <w:pPr>
              <w:pStyle w:val="51"/>
              <w:rPr>
                <w:rFonts w:hint="eastAsia"/>
                <w:sz w:val="24"/>
                <w:szCs w:val="22"/>
              </w:rPr>
            </w:pPr>
            <w:r>
              <w:rPr>
                <w:rFonts w:hint="eastAsia"/>
                <w:sz w:val="24"/>
                <w:szCs w:val="22"/>
              </w:rPr>
              <w:t>宋涤非</w:t>
            </w:r>
          </w:p>
        </w:tc>
        <w:tc>
          <w:tcPr>
            <w:tcW w:w="2835" w:type="dxa"/>
            <w:shd w:val="clear" w:color="auto" w:fill="auto"/>
            <w:vAlign w:val="center"/>
          </w:tcPr>
          <w:p w14:paraId="3326A3CA">
            <w:pPr>
              <w:pStyle w:val="51"/>
              <w:rPr>
                <w:rFonts w:hint="eastAsia"/>
                <w:sz w:val="24"/>
                <w:szCs w:val="22"/>
              </w:rPr>
            </w:pPr>
            <w:r>
              <w:rPr>
                <w:rFonts w:hint="eastAsia"/>
                <w:sz w:val="24"/>
                <w:szCs w:val="22"/>
              </w:rPr>
              <w:t>评估人员</w:t>
            </w:r>
          </w:p>
        </w:tc>
        <w:tc>
          <w:tcPr>
            <w:tcW w:w="2693" w:type="dxa"/>
            <w:shd w:val="clear" w:color="auto" w:fill="auto"/>
            <w:vAlign w:val="center"/>
          </w:tcPr>
          <w:p w14:paraId="6C663C98">
            <w:pPr>
              <w:jc w:val="center"/>
              <w:rPr>
                <w:rFonts w:hint="eastAsia" w:ascii="仿宋" w:hAnsi="仿宋"/>
                <w:sz w:val="28"/>
                <w:szCs w:val="28"/>
              </w:rPr>
            </w:pPr>
            <w:r>
              <w:rPr>
                <w:rFonts w:hint="eastAsia" w:ascii="仿宋" w:hAnsi="仿宋"/>
                <w:sz w:val="28"/>
                <w:szCs w:val="28"/>
              </w:rPr>
              <w:t>评估人员</w:t>
            </w:r>
          </w:p>
        </w:tc>
        <w:tc>
          <w:tcPr>
            <w:tcW w:w="2024" w:type="dxa"/>
            <w:shd w:val="clear" w:color="auto" w:fill="auto"/>
            <w:vAlign w:val="center"/>
          </w:tcPr>
          <w:p w14:paraId="292F869C">
            <w:pPr>
              <w:pStyle w:val="51"/>
              <w:rPr>
                <w:rFonts w:hint="eastAsia"/>
                <w:sz w:val="24"/>
                <w:szCs w:val="22"/>
              </w:rPr>
            </w:pPr>
            <w:r>
              <w:rPr>
                <w:sz w:val="24"/>
                <w:szCs w:val="22"/>
              </w:rPr>
              <w:t>19975261860</w:t>
            </w:r>
          </w:p>
        </w:tc>
      </w:tr>
    </w:tbl>
    <w:p w14:paraId="3C914D5E">
      <w:pPr>
        <w:pStyle w:val="3"/>
        <w:numPr>
          <w:ilvl w:val="1"/>
          <w:numId w:val="2"/>
        </w:numPr>
        <w:rPr>
          <w:sz w:val="28"/>
          <w:szCs w:val="28"/>
        </w:rPr>
      </w:pPr>
      <w:bookmarkStart w:id="24" w:name="_Toc486836687"/>
      <w:bookmarkStart w:id="25" w:name="_Toc144073332"/>
      <w:r>
        <w:rPr>
          <w:rFonts w:hint="eastAsia"/>
          <w:sz w:val="28"/>
          <w:szCs w:val="28"/>
        </w:rPr>
        <w:t>评估实施流程</w:t>
      </w:r>
      <w:bookmarkEnd w:id="24"/>
      <w:r>
        <w:rPr>
          <w:rFonts w:hint="eastAsia"/>
          <w:sz w:val="28"/>
          <w:szCs w:val="28"/>
        </w:rPr>
        <w:t>及时间</w:t>
      </w:r>
      <w:bookmarkEnd w:id="25"/>
    </w:p>
    <w:p w14:paraId="2D51EA0A">
      <w:pPr>
        <w:ind w:firstLine="480" w:firstLineChars="200"/>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ascii="仿宋_GB2312" w:hAnsi="仿宋_GB2312" w:eastAsia="仿宋_GB2312" w:cs="仿宋_GB2312"/>
          <w:color w:val="000000" w:themeColor="text1"/>
          <w:sz w:val="24"/>
          <w:szCs w:val="22"/>
          <w14:textFill>
            <w14:solidFill>
              <w14:schemeClr w14:val="tx1"/>
            </w14:solidFill>
          </w14:textFill>
        </w:rPr>
        <w:t>根据《5G行业应用安全评估规范》的相关要求，本次评估流程包括以下三个阶段：</w:t>
      </w:r>
    </w:p>
    <w:p w14:paraId="3A8C41C6">
      <w:pPr>
        <w:ind w:firstLine="482" w:firstLineChars="200"/>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ascii="仿宋_GB2312" w:hAnsi="仿宋_GB2312" w:eastAsia="仿宋_GB2312" w:cs="仿宋_GB2312"/>
          <w:b/>
          <w:color w:val="000000" w:themeColor="text1"/>
          <w:sz w:val="24"/>
          <w:szCs w:val="22"/>
          <w14:textFill>
            <w14:solidFill>
              <w14:schemeClr w14:val="tx1"/>
            </w14:solidFill>
          </w14:textFill>
        </w:rPr>
        <w:t>评估准备阶段：</w:t>
      </w:r>
      <w:r>
        <w:rPr>
          <w:rFonts w:hint="eastAsia" w:ascii="仿宋_GB2312" w:hAnsi="仿宋_GB2312" w:eastAsia="仿宋_GB2312" w:cs="仿宋_GB2312"/>
          <w:color w:val="000000" w:themeColor="text1"/>
          <w:sz w:val="24"/>
          <w:szCs w:val="22"/>
          <w14:textFill>
            <w14:solidFill>
              <w14:schemeClr w14:val="tx1"/>
            </w14:solidFill>
          </w14:textFill>
        </w:rPr>
        <w:t>202</w:t>
      </w:r>
      <w:r>
        <w:rPr>
          <w:rFonts w:ascii="仿宋_GB2312" w:hAnsi="仿宋_GB2312" w:eastAsia="仿宋_GB2312" w:cs="仿宋_GB2312"/>
          <w:color w:val="000000" w:themeColor="text1"/>
          <w:sz w:val="24"/>
          <w:szCs w:val="22"/>
          <w14:textFill>
            <w14:solidFill>
              <w14:schemeClr w14:val="tx1"/>
            </w14:solidFill>
          </w14:textFill>
        </w:rPr>
        <w:t>3</w:t>
      </w:r>
      <w:r>
        <w:rPr>
          <w:rFonts w:hint="eastAsia" w:ascii="仿宋_GB2312" w:hAnsi="仿宋_GB2312" w:eastAsia="仿宋_GB2312" w:cs="仿宋_GB2312"/>
          <w:color w:val="000000" w:themeColor="text1"/>
          <w:sz w:val="24"/>
          <w:szCs w:val="22"/>
          <w14:textFill>
            <w14:solidFill>
              <w14:schemeClr w14:val="tx1"/>
            </w14:solidFill>
          </w14:textFill>
        </w:rPr>
        <w:t>年</w:t>
      </w:r>
      <w:r>
        <w:rPr>
          <w:rFonts w:ascii="仿宋_GB2312" w:hAnsi="仿宋_GB2312" w:eastAsia="仿宋_GB2312" w:cs="仿宋_GB2312"/>
          <w:color w:val="000000" w:themeColor="text1"/>
          <w:sz w:val="24"/>
          <w:szCs w:val="22"/>
          <w14:textFill>
            <w14:solidFill>
              <w14:schemeClr w14:val="tx1"/>
            </w14:solidFill>
          </w14:textFill>
        </w:rPr>
        <w:t>7</w:t>
      </w:r>
      <w:r>
        <w:rPr>
          <w:rFonts w:hint="eastAsia" w:ascii="仿宋_GB2312" w:hAnsi="仿宋_GB2312" w:eastAsia="仿宋_GB2312" w:cs="仿宋_GB2312"/>
          <w:color w:val="000000" w:themeColor="text1"/>
          <w:sz w:val="24"/>
          <w:szCs w:val="22"/>
          <w14:textFill>
            <w14:solidFill>
              <w14:schemeClr w14:val="tx1"/>
            </w14:solidFill>
          </w14:textFill>
        </w:rPr>
        <w:t>月2</w:t>
      </w:r>
      <w:r>
        <w:rPr>
          <w:rFonts w:ascii="仿宋_GB2312" w:hAnsi="仿宋_GB2312" w:eastAsia="仿宋_GB2312" w:cs="仿宋_GB2312"/>
          <w:color w:val="000000" w:themeColor="text1"/>
          <w:sz w:val="24"/>
          <w:szCs w:val="22"/>
          <w14:textFill>
            <w14:solidFill>
              <w14:schemeClr w14:val="tx1"/>
            </w14:solidFill>
          </w14:textFill>
        </w:rPr>
        <w:t>1</w:t>
      </w:r>
      <w:r>
        <w:rPr>
          <w:rFonts w:hint="eastAsia" w:ascii="仿宋_GB2312" w:hAnsi="仿宋_GB2312" w:eastAsia="仿宋_GB2312" w:cs="仿宋_GB2312"/>
          <w:color w:val="000000" w:themeColor="text1"/>
          <w:sz w:val="24"/>
          <w:szCs w:val="22"/>
          <w14:textFill>
            <w14:solidFill>
              <w14:schemeClr w14:val="tx1"/>
            </w14:solidFill>
          </w14:textFill>
        </w:rPr>
        <w:t>日-</w:t>
      </w:r>
      <w:r>
        <w:rPr>
          <w:rFonts w:ascii="仿宋_GB2312" w:hAnsi="仿宋_GB2312" w:eastAsia="仿宋_GB2312" w:cs="仿宋_GB2312"/>
          <w:color w:val="000000" w:themeColor="text1"/>
          <w:sz w:val="24"/>
          <w:szCs w:val="22"/>
          <w14:textFill>
            <w14:solidFill>
              <w14:schemeClr w14:val="tx1"/>
            </w14:solidFill>
          </w14:textFill>
        </w:rPr>
        <w:t>7</w:t>
      </w:r>
      <w:r>
        <w:rPr>
          <w:rFonts w:hint="eastAsia" w:ascii="仿宋_GB2312" w:hAnsi="仿宋_GB2312" w:eastAsia="仿宋_GB2312" w:cs="仿宋_GB2312"/>
          <w:color w:val="000000" w:themeColor="text1"/>
          <w:sz w:val="24"/>
          <w:szCs w:val="22"/>
          <w14:textFill>
            <w14:solidFill>
              <w14:schemeClr w14:val="tx1"/>
            </w14:solidFill>
          </w14:textFill>
        </w:rPr>
        <w:t>月2</w:t>
      </w:r>
      <w:r>
        <w:rPr>
          <w:rFonts w:ascii="仿宋_GB2312" w:hAnsi="仿宋_GB2312" w:eastAsia="仿宋_GB2312" w:cs="仿宋_GB2312"/>
          <w:color w:val="000000" w:themeColor="text1"/>
          <w:sz w:val="24"/>
          <w:szCs w:val="22"/>
          <w14:textFill>
            <w14:solidFill>
              <w14:schemeClr w14:val="tx1"/>
            </w14:solidFill>
          </w14:textFill>
        </w:rPr>
        <w:t>3</w:t>
      </w:r>
      <w:r>
        <w:rPr>
          <w:rFonts w:hint="eastAsia" w:ascii="仿宋_GB2312" w:hAnsi="仿宋_GB2312" w:eastAsia="仿宋_GB2312" w:cs="仿宋_GB2312"/>
          <w:color w:val="000000" w:themeColor="text1"/>
          <w:sz w:val="24"/>
          <w:szCs w:val="22"/>
          <w14:textFill>
            <w14:solidFill>
              <w14:schemeClr w14:val="tx1"/>
            </w14:solidFill>
          </w14:textFill>
        </w:rPr>
        <w:t>日。本阶段工作内容包括成立评估组并确定小组人员，在对网络等环境调研的基础上，确定评估范围并梳理所需资料，如技术文档、管理文档、设备列表等；收集调研业务情况，结合业务特点，选择业务适用的安全评估指标，明确业务评估范围内已有的安全管理措施和技术保障措施。</w:t>
      </w:r>
    </w:p>
    <w:p w14:paraId="31C40EFD">
      <w:pPr>
        <w:ind w:firstLine="482" w:firstLineChars="200"/>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ascii="仿宋_GB2312" w:hAnsi="仿宋_GB2312" w:eastAsia="仿宋_GB2312" w:cs="仿宋_GB2312"/>
          <w:b/>
          <w:color w:val="000000" w:themeColor="text1"/>
          <w:sz w:val="24"/>
          <w:szCs w:val="22"/>
          <w14:textFill>
            <w14:solidFill>
              <w14:schemeClr w14:val="tx1"/>
            </w14:solidFill>
          </w14:textFill>
        </w:rPr>
        <w:t>组织实施阶段</w:t>
      </w:r>
      <w:r>
        <w:rPr>
          <w:rFonts w:hint="eastAsia" w:ascii="仿宋_GB2312" w:hAnsi="仿宋_GB2312" w:eastAsia="仿宋_GB2312" w:cs="仿宋_GB2312"/>
          <w:color w:val="000000" w:themeColor="text1"/>
          <w:sz w:val="24"/>
          <w:szCs w:val="22"/>
          <w14:textFill>
            <w14:solidFill>
              <w14:schemeClr w14:val="tx1"/>
            </w14:solidFill>
          </w14:textFill>
        </w:rPr>
        <w:t>：202</w:t>
      </w:r>
      <w:r>
        <w:rPr>
          <w:rFonts w:ascii="仿宋_GB2312" w:hAnsi="仿宋_GB2312" w:eastAsia="仿宋_GB2312" w:cs="仿宋_GB2312"/>
          <w:color w:val="000000" w:themeColor="text1"/>
          <w:sz w:val="24"/>
          <w:szCs w:val="22"/>
          <w14:textFill>
            <w14:solidFill>
              <w14:schemeClr w14:val="tx1"/>
            </w14:solidFill>
          </w14:textFill>
        </w:rPr>
        <w:t>3</w:t>
      </w:r>
      <w:r>
        <w:rPr>
          <w:rFonts w:hint="eastAsia" w:ascii="仿宋_GB2312" w:hAnsi="仿宋_GB2312" w:eastAsia="仿宋_GB2312" w:cs="仿宋_GB2312"/>
          <w:color w:val="000000" w:themeColor="text1"/>
          <w:sz w:val="24"/>
          <w:szCs w:val="22"/>
          <w14:textFill>
            <w14:solidFill>
              <w14:schemeClr w14:val="tx1"/>
            </w14:solidFill>
          </w14:textFill>
        </w:rPr>
        <w:t>年</w:t>
      </w:r>
      <w:r>
        <w:rPr>
          <w:rFonts w:ascii="仿宋_GB2312" w:hAnsi="仿宋_GB2312" w:eastAsia="仿宋_GB2312" w:cs="仿宋_GB2312"/>
          <w:color w:val="000000" w:themeColor="text1"/>
          <w:sz w:val="24"/>
          <w:szCs w:val="22"/>
          <w14:textFill>
            <w14:solidFill>
              <w14:schemeClr w14:val="tx1"/>
            </w14:solidFill>
          </w14:textFill>
        </w:rPr>
        <w:t>7</w:t>
      </w:r>
      <w:r>
        <w:rPr>
          <w:rFonts w:hint="eastAsia" w:ascii="仿宋_GB2312" w:hAnsi="仿宋_GB2312" w:eastAsia="仿宋_GB2312" w:cs="仿宋_GB2312"/>
          <w:color w:val="000000" w:themeColor="text1"/>
          <w:sz w:val="24"/>
          <w:szCs w:val="22"/>
          <w14:textFill>
            <w14:solidFill>
              <w14:schemeClr w14:val="tx1"/>
            </w14:solidFill>
          </w14:textFill>
        </w:rPr>
        <w:t>月2</w:t>
      </w:r>
      <w:r>
        <w:rPr>
          <w:rFonts w:ascii="仿宋_GB2312" w:hAnsi="仿宋_GB2312" w:eastAsia="仿宋_GB2312" w:cs="仿宋_GB2312"/>
          <w:color w:val="000000" w:themeColor="text1"/>
          <w:sz w:val="24"/>
          <w:szCs w:val="22"/>
          <w14:textFill>
            <w14:solidFill>
              <w14:schemeClr w14:val="tx1"/>
            </w14:solidFill>
          </w14:textFill>
        </w:rPr>
        <w:t>3</w:t>
      </w:r>
      <w:r>
        <w:rPr>
          <w:rFonts w:hint="eastAsia" w:ascii="仿宋_GB2312" w:hAnsi="仿宋_GB2312" w:eastAsia="仿宋_GB2312" w:cs="仿宋_GB2312"/>
          <w:color w:val="000000" w:themeColor="text1"/>
          <w:sz w:val="24"/>
          <w:szCs w:val="22"/>
          <w14:textFill>
            <w14:solidFill>
              <w14:schemeClr w14:val="tx1"/>
            </w14:solidFill>
          </w14:textFill>
        </w:rPr>
        <w:t>日-202</w:t>
      </w:r>
      <w:r>
        <w:rPr>
          <w:rFonts w:ascii="仿宋_GB2312" w:hAnsi="仿宋_GB2312" w:eastAsia="仿宋_GB2312" w:cs="仿宋_GB2312"/>
          <w:color w:val="000000" w:themeColor="text1"/>
          <w:sz w:val="24"/>
          <w:szCs w:val="22"/>
          <w14:textFill>
            <w14:solidFill>
              <w14:schemeClr w14:val="tx1"/>
            </w14:solidFill>
          </w14:textFill>
        </w:rPr>
        <w:t>3</w:t>
      </w:r>
      <w:r>
        <w:rPr>
          <w:rFonts w:hint="eastAsia" w:ascii="仿宋_GB2312" w:hAnsi="仿宋_GB2312" w:eastAsia="仿宋_GB2312" w:cs="仿宋_GB2312"/>
          <w:color w:val="000000" w:themeColor="text1"/>
          <w:sz w:val="24"/>
          <w:szCs w:val="22"/>
          <w14:textFill>
            <w14:solidFill>
              <w14:schemeClr w14:val="tx1"/>
            </w14:solidFill>
          </w14:textFill>
        </w:rPr>
        <w:t>年</w:t>
      </w:r>
      <w:r>
        <w:rPr>
          <w:rFonts w:ascii="仿宋_GB2312" w:hAnsi="仿宋_GB2312" w:eastAsia="仿宋_GB2312" w:cs="仿宋_GB2312"/>
          <w:color w:val="000000" w:themeColor="text1"/>
          <w:sz w:val="24"/>
          <w:szCs w:val="22"/>
          <w14:textFill>
            <w14:solidFill>
              <w14:schemeClr w14:val="tx1"/>
            </w14:solidFill>
          </w14:textFill>
        </w:rPr>
        <w:t>7</w:t>
      </w:r>
      <w:r>
        <w:rPr>
          <w:rFonts w:hint="eastAsia" w:ascii="仿宋_GB2312" w:hAnsi="仿宋_GB2312" w:eastAsia="仿宋_GB2312" w:cs="仿宋_GB2312"/>
          <w:color w:val="000000" w:themeColor="text1"/>
          <w:sz w:val="24"/>
          <w:szCs w:val="22"/>
          <w14:textFill>
            <w14:solidFill>
              <w14:schemeClr w14:val="tx1"/>
            </w14:solidFill>
          </w14:textFill>
        </w:rPr>
        <w:t>月2</w:t>
      </w:r>
      <w:r>
        <w:rPr>
          <w:rFonts w:ascii="仿宋_GB2312" w:hAnsi="仿宋_GB2312" w:eastAsia="仿宋_GB2312" w:cs="仿宋_GB2312"/>
          <w:color w:val="000000" w:themeColor="text1"/>
          <w:sz w:val="24"/>
          <w:szCs w:val="22"/>
          <w14:textFill>
            <w14:solidFill>
              <w14:schemeClr w14:val="tx1"/>
            </w14:solidFill>
          </w14:textFill>
        </w:rPr>
        <w:t>6</w:t>
      </w:r>
      <w:r>
        <w:rPr>
          <w:rFonts w:hint="eastAsia" w:ascii="仿宋_GB2312" w:hAnsi="仿宋_GB2312" w:eastAsia="仿宋_GB2312" w:cs="仿宋_GB2312"/>
          <w:color w:val="000000" w:themeColor="text1"/>
          <w:sz w:val="24"/>
          <w:szCs w:val="22"/>
          <w14:textFill>
            <w14:solidFill>
              <w14:schemeClr w14:val="tx1"/>
            </w14:solidFill>
          </w14:textFill>
        </w:rPr>
        <w:t>日。在前期准备的基础上，评估组成员通过人员访谈、文档查阅、演示核查、测试验证等方式对5G行业专网及其业务风险和保障能力作出验证：</w:t>
      </w:r>
    </w:p>
    <w:p w14:paraId="497FD361">
      <w:pPr>
        <w:widowControl/>
        <w:numPr>
          <w:ilvl w:val="0"/>
          <w:numId w:val="3"/>
        </w:numPr>
        <w:ind w:firstLine="480" w:firstLineChars="200"/>
        <w:jc w:val="left"/>
        <w:rPr>
          <w:rFonts w:hint="eastAsia" w:ascii="仿宋_GB2312" w:hAnsi="仿宋_GB2312" w:eastAsia="仿宋_GB2312" w:cs="仿宋_GB2312"/>
          <w:color w:val="000000" w:themeColor="text1"/>
          <w:sz w:val="24"/>
          <w:szCs w:val="28"/>
          <w14:textFill>
            <w14:solidFill>
              <w14:schemeClr w14:val="tx1"/>
            </w14:solidFill>
          </w14:textFill>
        </w:rPr>
      </w:pPr>
      <w:r>
        <w:rPr>
          <w:rFonts w:hint="eastAsia" w:ascii="仿宋_GB2312" w:hAnsi="仿宋_GB2312" w:eastAsia="仿宋_GB2312" w:cs="仿宋_GB2312"/>
          <w:color w:val="000000" w:themeColor="text1"/>
          <w:sz w:val="24"/>
          <w:szCs w:val="28"/>
          <w14:textFill>
            <w14:solidFill>
              <w14:schemeClr w14:val="tx1"/>
            </w14:solidFill>
          </w14:textFill>
        </w:rPr>
        <w:t xml:space="preserve">人员访谈：对照评估指标，企业安排信息安全部、集团客户部、业务合作方的相关人员，对评估人员提出的问题进行回应与讨论。 </w:t>
      </w:r>
    </w:p>
    <w:p w14:paraId="47DD176A">
      <w:pPr>
        <w:widowControl/>
        <w:numPr>
          <w:ilvl w:val="0"/>
          <w:numId w:val="3"/>
        </w:numPr>
        <w:ind w:firstLine="480" w:firstLineChars="200"/>
        <w:jc w:val="left"/>
        <w:rPr>
          <w:rFonts w:hint="eastAsia" w:ascii="仿宋_GB2312" w:hAnsi="仿宋_GB2312" w:eastAsia="仿宋_GB2312" w:cs="仿宋_GB2312"/>
          <w:color w:val="000000" w:themeColor="text1"/>
          <w:sz w:val="24"/>
          <w:szCs w:val="28"/>
          <w14:textFill>
            <w14:solidFill>
              <w14:schemeClr w14:val="tx1"/>
            </w14:solidFill>
          </w14:textFill>
        </w:rPr>
      </w:pPr>
      <w:r>
        <w:rPr>
          <w:rFonts w:hint="eastAsia" w:ascii="仿宋_GB2312" w:hAnsi="仿宋_GB2312" w:eastAsia="仿宋_GB2312" w:cs="仿宋_GB2312"/>
          <w:color w:val="000000" w:themeColor="text1"/>
          <w:sz w:val="24"/>
          <w:szCs w:val="28"/>
          <w14:textFill>
            <w14:solidFill>
              <w14:schemeClr w14:val="tx1"/>
            </w14:solidFill>
          </w14:textFill>
        </w:rPr>
        <w:t xml:space="preserve">文档查阅：对照评估指标，评估人员提出业务安全保障相关的制度文件需求，企业安排相关人员准备提供，评估人员进行查阅。 </w:t>
      </w:r>
    </w:p>
    <w:p w14:paraId="07D81BEC">
      <w:pPr>
        <w:widowControl/>
        <w:numPr>
          <w:ilvl w:val="0"/>
          <w:numId w:val="3"/>
        </w:numPr>
        <w:ind w:firstLine="480" w:firstLineChars="200"/>
        <w:jc w:val="left"/>
        <w:rPr>
          <w:rFonts w:hint="eastAsia" w:ascii="仿宋_GB2312" w:hAnsi="仿宋_GB2312" w:eastAsia="仿宋_GB2312" w:cs="仿宋_GB2312"/>
          <w:color w:val="000000" w:themeColor="text1"/>
          <w:sz w:val="24"/>
          <w:szCs w:val="28"/>
          <w14:textFill>
            <w14:solidFill>
              <w14:schemeClr w14:val="tx1"/>
            </w14:solidFill>
          </w14:textFill>
        </w:rPr>
      </w:pPr>
      <w:r>
        <w:rPr>
          <w:rFonts w:hint="eastAsia" w:ascii="仿宋_GB2312" w:hAnsi="仿宋_GB2312" w:eastAsia="仿宋_GB2312" w:cs="仿宋_GB2312"/>
          <w:color w:val="000000" w:themeColor="text1"/>
          <w:sz w:val="24"/>
          <w:szCs w:val="28"/>
          <w14:textFill>
            <w14:solidFill>
              <w14:schemeClr w14:val="tx1"/>
            </w14:solidFill>
          </w14:textFill>
        </w:rPr>
        <w:t>演示核查：对照评估指标，相关方安排相关人员，对目前已拥有的安全能力及系统中的相关技术手段等进行介绍展示，评估人员进行核实确认并保留截图记录。</w:t>
      </w:r>
    </w:p>
    <w:p w14:paraId="08B3DB1E">
      <w:pPr>
        <w:widowControl/>
        <w:numPr>
          <w:ilvl w:val="0"/>
          <w:numId w:val="3"/>
        </w:numPr>
        <w:ind w:firstLine="480" w:firstLineChars="200"/>
        <w:jc w:val="left"/>
        <w:rPr>
          <w:rFonts w:hint="eastAsia" w:ascii="仿宋_GB2312" w:hAnsi="仿宋_GB2312" w:eastAsia="仿宋_GB2312" w:cs="仿宋_GB2312"/>
          <w:color w:val="000000" w:themeColor="text1"/>
          <w:sz w:val="24"/>
          <w:szCs w:val="28"/>
          <w14:textFill>
            <w14:solidFill>
              <w14:schemeClr w14:val="tx1"/>
            </w14:solidFill>
          </w14:textFill>
        </w:rPr>
      </w:pPr>
      <w:r>
        <w:rPr>
          <w:rFonts w:hint="eastAsia" w:ascii="仿宋_GB2312" w:hAnsi="仿宋_GB2312" w:eastAsia="仿宋_GB2312" w:cs="仿宋_GB2312"/>
          <w:color w:val="000000" w:themeColor="text1"/>
          <w:sz w:val="24"/>
          <w:szCs w:val="28"/>
          <w14:textFill>
            <w14:solidFill>
              <w14:schemeClr w14:val="tx1"/>
            </w14:solidFill>
          </w14:textFill>
        </w:rPr>
        <w:t>测试验证：根据企业提供的测评环境和条件，评估人员根据具体的测试用例或技术手段，对企业已采用的安全保障措施落实情况进行核实验证。</w:t>
      </w:r>
    </w:p>
    <w:p w14:paraId="76E9D215">
      <w:pPr>
        <w:ind w:firstLine="480" w:firstLineChars="200"/>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ascii="仿宋_GB2312" w:hAnsi="仿宋_GB2312" w:eastAsia="仿宋_GB2312" w:cs="仿宋_GB2312"/>
          <w:color w:val="000000" w:themeColor="text1"/>
          <w:sz w:val="24"/>
          <w:szCs w:val="22"/>
          <w14:textFill>
            <w14:solidFill>
              <w14:schemeClr w14:val="tx1"/>
            </w14:solidFill>
          </w14:textFill>
        </w:rPr>
        <w:t>在获取评估结果后，评估人员对照评估指标对结果进行综合分析，形成评估结论。</w:t>
      </w:r>
    </w:p>
    <w:p w14:paraId="032D54B6">
      <w:pPr>
        <w:ind w:firstLine="482" w:firstLineChars="200"/>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ascii="仿宋_GB2312" w:hAnsi="仿宋_GB2312" w:eastAsia="仿宋_GB2312" w:cs="仿宋_GB2312"/>
          <w:b/>
          <w:color w:val="000000" w:themeColor="text1"/>
          <w:sz w:val="24"/>
          <w:szCs w:val="22"/>
          <w14:textFill>
            <w14:solidFill>
              <w14:schemeClr w14:val="tx1"/>
            </w14:solidFill>
          </w14:textFill>
        </w:rPr>
        <w:t>评估总结阶段</w:t>
      </w:r>
      <w:r>
        <w:rPr>
          <w:rFonts w:hint="eastAsia" w:ascii="仿宋_GB2312" w:hAnsi="仿宋_GB2312" w:eastAsia="仿宋_GB2312" w:cs="仿宋_GB2312"/>
          <w:color w:val="000000" w:themeColor="text1"/>
          <w:sz w:val="24"/>
          <w:szCs w:val="22"/>
          <w14:textFill>
            <w14:solidFill>
              <w14:schemeClr w14:val="tx1"/>
            </w14:solidFill>
          </w14:textFill>
        </w:rPr>
        <w:t>：202</w:t>
      </w:r>
      <w:r>
        <w:rPr>
          <w:rFonts w:ascii="仿宋_GB2312" w:hAnsi="仿宋_GB2312" w:eastAsia="仿宋_GB2312" w:cs="仿宋_GB2312"/>
          <w:color w:val="000000" w:themeColor="text1"/>
          <w:sz w:val="24"/>
          <w:szCs w:val="22"/>
          <w14:textFill>
            <w14:solidFill>
              <w14:schemeClr w14:val="tx1"/>
            </w14:solidFill>
          </w14:textFill>
        </w:rPr>
        <w:t>3</w:t>
      </w:r>
      <w:r>
        <w:rPr>
          <w:rFonts w:hint="eastAsia" w:ascii="仿宋_GB2312" w:hAnsi="仿宋_GB2312" w:eastAsia="仿宋_GB2312" w:cs="仿宋_GB2312"/>
          <w:color w:val="000000" w:themeColor="text1"/>
          <w:sz w:val="24"/>
          <w:szCs w:val="22"/>
          <w14:textFill>
            <w14:solidFill>
              <w14:schemeClr w14:val="tx1"/>
            </w14:solidFill>
          </w14:textFill>
        </w:rPr>
        <w:t>年</w:t>
      </w:r>
      <w:r>
        <w:rPr>
          <w:rFonts w:ascii="仿宋_GB2312" w:hAnsi="仿宋_GB2312" w:eastAsia="仿宋_GB2312" w:cs="仿宋_GB2312"/>
          <w:color w:val="000000" w:themeColor="text1"/>
          <w:sz w:val="24"/>
          <w:szCs w:val="22"/>
          <w14:textFill>
            <w14:solidFill>
              <w14:schemeClr w14:val="tx1"/>
            </w14:solidFill>
          </w14:textFill>
        </w:rPr>
        <w:t>7</w:t>
      </w:r>
      <w:r>
        <w:rPr>
          <w:rFonts w:hint="eastAsia" w:ascii="仿宋_GB2312" w:hAnsi="仿宋_GB2312" w:eastAsia="仿宋_GB2312" w:cs="仿宋_GB2312"/>
          <w:color w:val="000000" w:themeColor="text1"/>
          <w:sz w:val="24"/>
          <w:szCs w:val="22"/>
          <w14:textFill>
            <w14:solidFill>
              <w14:schemeClr w14:val="tx1"/>
            </w14:solidFill>
          </w14:textFill>
        </w:rPr>
        <w:t>月</w:t>
      </w:r>
      <w:r>
        <w:rPr>
          <w:rFonts w:ascii="仿宋_GB2312" w:hAnsi="仿宋_GB2312" w:eastAsia="仿宋_GB2312" w:cs="仿宋_GB2312"/>
          <w:color w:val="000000" w:themeColor="text1"/>
          <w:sz w:val="24"/>
          <w:szCs w:val="22"/>
          <w14:textFill>
            <w14:solidFill>
              <w14:schemeClr w14:val="tx1"/>
            </w14:solidFill>
          </w14:textFill>
        </w:rPr>
        <w:t>27</w:t>
      </w:r>
      <w:r>
        <w:rPr>
          <w:rFonts w:hint="eastAsia" w:ascii="仿宋_GB2312" w:hAnsi="仿宋_GB2312" w:eastAsia="仿宋_GB2312" w:cs="仿宋_GB2312"/>
          <w:color w:val="000000" w:themeColor="text1"/>
          <w:sz w:val="24"/>
          <w:szCs w:val="22"/>
          <w14:textFill>
            <w14:solidFill>
              <w14:schemeClr w14:val="tx1"/>
            </w14:solidFill>
          </w14:textFill>
        </w:rPr>
        <w:t>日-</w:t>
      </w:r>
      <w:r>
        <w:rPr>
          <w:rFonts w:ascii="仿宋_GB2312" w:hAnsi="仿宋_GB2312" w:eastAsia="仿宋_GB2312" w:cs="仿宋_GB2312"/>
          <w:color w:val="000000" w:themeColor="text1"/>
          <w:sz w:val="24"/>
          <w:szCs w:val="22"/>
          <w14:textFill>
            <w14:solidFill>
              <w14:schemeClr w14:val="tx1"/>
            </w14:solidFill>
          </w14:textFill>
        </w:rPr>
        <w:t>7</w:t>
      </w:r>
      <w:r>
        <w:rPr>
          <w:rFonts w:hint="eastAsia" w:ascii="仿宋_GB2312" w:hAnsi="仿宋_GB2312" w:eastAsia="仿宋_GB2312" w:cs="仿宋_GB2312"/>
          <w:color w:val="000000" w:themeColor="text1"/>
          <w:sz w:val="24"/>
          <w:szCs w:val="22"/>
          <w14:textFill>
            <w14:solidFill>
              <w14:schemeClr w14:val="tx1"/>
            </w14:solidFill>
          </w14:textFill>
        </w:rPr>
        <w:t>月</w:t>
      </w:r>
      <w:r>
        <w:rPr>
          <w:rFonts w:ascii="仿宋_GB2312" w:hAnsi="仿宋_GB2312" w:eastAsia="仿宋_GB2312" w:cs="仿宋_GB2312"/>
          <w:color w:val="000000" w:themeColor="text1"/>
          <w:sz w:val="24"/>
          <w:szCs w:val="22"/>
          <w14:textFill>
            <w14:solidFill>
              <w14:schemeClr w14:val="tx1"/>
            </w14:solidFill>
          </w14:textFill>
        </w:rPr>
        <w:t>29</w:t>
      </w:r>
      <w:r>
        <w:rPr>
          <w:rFonts w:hint="eastAsia" w:ascii="仿宋_GB2312" w:hAnsi="仿宋_GB2312" w:eastAsia="仿宋_GB2312" w:cs="仿宋_GB2312"/>
          <w:color w:val="000000" w:themeColor="text1"/>
          <w:sz w:val="24"/>
          <w:szCs w:val="22"/>
          <w14:textFill>
            <w14:solidFill>
              <w14:schemeClr w14:val="tx1"/>
            </w14:solidFill>
          </w14:textFill>
        </w:rPr>
        <w:t>日。针对安全评估结果及结论，提出后续建设中安全保障能力的改进方向和重点，并与相关方人员召开会议进行确认，对评估结果达成一致意见。根据评估情况，完成评估报告撰写及签字盖章。</w:t>
      </w:r>
    </w:p>
    <w:p w14:paraId="7D177EF0">
      <w:pPr>
        <w:pStyle w:val="3"/>
        <w:numPr>
          <w:ilvl w:val="1"/>
          <w:numId w:val="2"/>
        </w:numPr>
        <w:rPr>
          <w:sz w:val="28"/>
          <w:szCs w:val="28"/>
        </w:rPr>
      </w:pPr>
      <w:bookmarkStart w:id="26" w:name="_Toc144073333"/>
      <w:r>
        <w:rPr>
          <w:rFonts w:hint="eastAsia"/>
          <w:sz w:val="28"/>
          <w:szCs w:val="28"/>
        </w:rPr>
        <w:t>评估结果</w:t>
      </w:r>
      <w:bookmarkEnd w:id="26"/>
    </w:p>
    <w:p w14:paraId="096DBF92">
      <w:pPr>
        <w:pStyle w:val="4"/>
        <w:numPr>
          <w:ilvl w:val="2"/>
          <w:numId w:val="2"/>
        </w:numPr>
        <w:rPr>
          <w:sz w:val="28"/>
          <w:szCs w:val="28"/>
        </w:rPr>
      </w:pPr>
      <w:bookmarkStart w:id="27" w:name="_Toc144073334"/>
      <w:r>
        <w:rPr>
          <w:rFonts w:hint="eastAsia"/>
          <w:sz w:val="28"/>
          <w:szCs w:val="28"/>
        </w:rPr>
        <w:t>5</w:t>
      </w:r>
      <w:r>
        <w:rPr>
          <w:sz w:val="28"/>
          <w:szCs w:val="28"/>
        </w:rPr>
        <w:t>G</w:t>
      </w:r>
      <w:r>
        <w:rPr>
          <w:rFonts w:hint="eastAsia"/>
          <w:sz w:val="28"/>
          <w:szCs w:val="28"/>
        </w:rPr>
        <w:t>典型应用场景安全</w:t>
      </w:r>
      <w:bookmarkEnd w:id="27"/>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
        <w:gridCol w:w="1461"/>
        <w:gridCol w:w="2975"/>
        <w:gridCol w:w="827"/>
        <w:gridCol w:w="2475"/>
      </w:tblGrid>
      <w:tr w14:paraId="62C20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atLeast"/>
        </w:trPr>
        <w:tc>
          <w:tcPr>
            <w:tcW w:w="798" w:type="dxa"/>
            <w:vAlign w:val="center"/>
          </w:tcPr>
          <w:p w14:paraId="525AEA54">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评估模块</w:t>
            </w:r>
          </w:p>
        </w:tc>
        <w:tc>
          <w:tcPr>
            <w:tcW w:w="1476" w:type="dxa"/>
            <w:vAlign w:val="center"/>
          </w:tcPr>
          <w:p w14:paraId="04DC6B64">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评估指标</w:t>
            </w:r>
          </w:p>
        </w:tc>
        <w:tc>
          <w:tcPr>
            <w:tcW w:w="3108" w:type="dxa"/>
            <w:vAlign w:val="center"/>
          </w:tcPr>
          <w:p w14:paraId="17108AC3">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评估内容</w:t>
            </w:r>
          </w:p>
        </w:tc>
        <w:tc>
          <w:tcPr>
            <w:tcW w:w="850" w:type="dxa"/>
            <w:vAlign w:val="center"/>
          </w:tcPr>
          <w:p w14:paraId="70A80D7D">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评估意见</w:t>
            </w:r>
          </w:p>
        </w:tc>
        <w:tc>
          <w:tcPr>
            <w:tcW w:w="2578" w:type="dxa"/>
            <w:vAlign w:val="center"/>
          </w:tcPr>
          <w:p w14:paraId="7A1A6C84">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研判依据</w:t>
            </w:r>
          </w:p>
        </w:tc>
      </w:tr>
      <w:tr w14:paraId="20BE3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798" w:type="dxa"/>
            <w:vMerge w:val="restart"/>
            <w:vAlign w:val="center"/>
          </w:tcPr>
          <w:p w14:paraId="492338E6">
            <w:pPr>
              <w:widowControl/>
              <w:jc w:val="center"/>
              <w:rPr>
                <w:rFonts w:hint="eastAsia" w:ascii="仿宋" w:hAnsi="仿宋"/>
                <w:color w:val="000000"/>
                <w:kern w:val="0"/>
                <w:sz w:val="22"/>
                <w:szCs w:val="21"/>
              </w:rPr>
            </w:pPr>
            <w:r>
              <w:rPr>
                <w:rFonts w:hint="eastAsia" w:ascii="仿宋" w:hAnsi="仿宋"/>
                <w:color w:val="000000"/>
                <w:kern w:val="0"/>
                <w:sz w:val="22"/>
                <w:szCs w:val="21"/>
              </w:rPr>
              <w:t>1.1</w:t>
            </w:r>
          </w:p>
          <w:p w14:paraId="674A9E87">
            <w:pPr>
              <w:widowControl/>
              <w:jc w:val="center"/>
              <w:rPr>
                <w:rFonts w:hint="eastAsia" w:ascii="仿宋" w:hAnsi="仿宋"/>
                <w:color w:val="000000"/>
                <w:kern w:val="0"/>
                <w:sz w:val="22"/>
                <w:szCs w:val="21"/>
              </w:rPr>
            </w:pPr>
            <w:r>
              <w:rPr>
                <w:rFonts w:hint="eastAsia" w:ascii="仿宋" w:hAnsi="仿宋"/>
                <w:color w:val="000000"/>
                <w:kern w:val="0"/>
                <w:sz w:val="22"/>
                <w:szCs w:val="21"/>
              </w:rPr>
              <w:t>5G典型应用场景安全</w:t>
            </w:r>
          </w:p>
        </w:tc>
        <w:tc>
          <w:tcPr>
            <w:tcW w:w="1476" w:type="dxa"/>
            <w:vMerge w:val="restart"/>
            <w:vAlign w:val="center"/>
          </w:tcPr>
          <w:p w14:paraId="34B08C1E">
            <w:pPr>
              <w:jc w:val="center"/>
              <w:rPr>
                <w:rFonts w:hint="eastAsia" w:ascii="仿宋" w:hAnsi="仿宋"/>
                <w:color w:val="000000"/>
                <w:kern w:val="0"/>
                <w:sz w:val="22"/>
                <w:szCs w:val="21"/>
              </w:rPr>
            </w:pPr>
            <w:r>
              <w:rPr>
                <w:rFonts w:hint="eastAsia" w:ascii="仿宋" w:hAnsi="仿宋"/>
                <w:color w:val="000000"/>
                <w:kern w:val="0"/>
                <w:sz w:val="22"/>
                <w:szCs w:val="21"/>
              </w:rPr>
              <w:t>1.1.1</w:t>
            </w:r>
          </w:p>
          <w:p w14:paraId="73FC2407">
            <w:pPr>
              <w:jc w:val="center"/>
              <w:rPr>
                <w:rFonts w:hint="eastAsia" w:ascii="仿宋" w:hAnsi="仿宋"/>
                <w:color w:val="000000"/>
                <w:kern w:val="0"/>
                <w:sz w:val="22"/>
                <w:szCs w:val="21"/>
              </w:rPr>
            </w:pPr>
            <w:r>
              <w:rPr>
                <w:rFonts w:hint="eastAsia" w:ascii="仿宋" w:hAnsi="仿宋"/>
                <w:color w:val="000000"/>
                <w:kern w:val="0"/>
                <w:sz w:val="22"/>
                <w:szCs w:val="21"/>
              </w:rPr>
              <w:t>增强型移动宽带（eMBB）场景</w:t>
            </w:r>
          </w:p>
        </w:tc>
        <w:tc>
          <w:tcPr>
            <w:tcW w:w="3108" w:type="dxa"/>
            <w:vAlign w:val="center"/>
          </w:tcPr>
          <w:p w14:paraId="2AFF052C">
            <w:pPr>
              <w:jc w:val="left"/>
              <w:rPr>
                <w:rFonts w:hint="eastAsia" w:ascii="仿宋" w:hAnsi="仿宋"/>
                <w:color w:val="000000"/>
                <w:kern w:val="0"/>
                <w:sz w:val="22"/>
                <w:szCs w:val="21"/>
              </w:rPr>
            </w:pPr>
            <w:r>
              <w:rPr>
                <w:rFonts w:hint="eastAsia" w:ascii="仿宋" w:hAnsi="仿宋"/>
                <w:color w:val="000000"/>
                <w:kern w:val="0"/>
                <w:sz w:val="22"/>
                <w:szCs w:val="21"/>
              </w:rPr>
              <w:t>a)应具备eMBB场景下的安全保障能力，应部署网络安全防护、入侵检测等安全技术手段以满足超大流量条件下的安全需求。</w:t>
            </w:r>
          </w:p>
        </w:tc>
        <w:tc>
          <w:tcPr>
            <w:tcW w:w="850" w:type="dxa"/>
            <w:vAlign w:val="center"/>
          </w:tcPr>
          <w:p w14:paraId="147640BA">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符合</w:t>
            </w:r>
          </w:p>
        </w:tc>
        <w:tc>
          <w:tcPr>
            <w:tcW w:w="2578" w:type="dxa"/>
            <w:vAlign w:val="center"/>
          </w:tcPr>
          <w:p w14:paraId="179DEDF3">
            <w:pP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该项目属于e</w:t>
            </w:r>
            <w:r>
              <w:rPr>
                <w:rFonts w:ascii="仿宋_GB2312" w:hAnsi="仿宋_GB2312" w:eastAsia="仿宋_GB2312" w:cs="仿宋_GB2312"/>
                <w:color w:val="000000" w:themeColor="text1"/>
                <w:kern w:val="0"/>
                <w:sz w:val="22"/>
                <w:szCs w:val="21"/>
                <w14:textFill>
                  <w14:solidFill>
                    <w14:schemeClr w14:val="tx1"/>
                  </w14:solidFill>
                </w14:textFill>
              </w:rPr>
              <w:t>MBB</w:t>
            </w:r>
            <w:r>
              <w:rPr>
                <w:rFonts w:hint="eastAsia" w:ascii="仿宋_GB2312" w:hAnsi="仿宋_GB2312" w:eastAsia="仿宋_GB2312" w:cs="仿宋_GB2312"/>
                <w:color w:val="000000" w:themeColor="text1"/>
                <w:kern w:val="0"/>
                <w:sz w:val="22"/>
                <w:szCs w:val="21"/>
                <w14:textFill>
                  <w14:solidFill>
                    <w14:schemeClr w14:val="tx1"/>
                  </w14:solidFill>
                </w14:textFill>
              </w:rPr>
              <w:t>场景。该网络环境中共享UPF侧部署有防火墙设备，网络安全能力满足该流量等级下的正常运行和安全防护。其余安全能力复用大区公网安全资源池，提供流量清洗等安全能力，提升大流量下的安全处理能力。业务平台由用户自行建设，本次评估不涉及。</w:t>
            </w:r>
          </w:p>
        </w:tc>
      </w:tr>
      <w:tr w14:paraId="32FEB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5" w:hRule="atLeast"/>
        </w:trPr>
        <w:tc>
          <w:tcPr>
            <w:tcW w:w="798" w:type="dxa"/>
            <w:vMerge w:val="continue"/>
            <w:vAlign w:val="center"/>
          </w:tcPr>
          <w:p w14:paraId="3C419C0B">
            <w:pPr>
              <w:jc w:val="center"/>
              <w:rPr>
                <w:rFonts w:hint="eastAsia" w:ascii="仿宋" w:hAnsi="仿宋" w:cs="仿宋_GB2312"/>
                <w:color w:val="000000" w:themeColor="text1"/>
                <w:kern w:val="0"/>
                <w:sz w:val="22"/>
                <w:szCs w:val="21"/>
                <w14:textFill>
                  <w14:solidFill>
                    <w14:schemeClr w14:val="tx1"/>
                  </w14:solidFill>
                </w14:textFill>
              </w:rPr>
            </w:pPr>
          </w:p>
        </w:tc>
        <w:tc>
          <w:tcPr>
            <w:tcW w:w="1476" w:type="dxa"/>
            <w:vMerge w:val="continue"/>
            <w:vAlign w:val="center"/>
          </w:tcPr>
          <w:p w14:paraId="3C0C33A1">
            <w:pPr>
              <w:jc w:val="center"/>
              <w:rPr>
                <w:rFonts w:hint="eastAsia" w:ascii="仿宋" w:hAnsi="仿宋" w:cs="仿宋_GB2312"/>
                <w:color w:val="000000" w:themeColor="text1"/>
                <w:kern w:val="0"/>
                <w:sz w:val="22"/>
                <w:szCs w:val="21"/>
                <w14:textFill>
                  <w14:solidFill>
                    <w14:schemeClr w14:val="tx1"/>
                  </w14:solidFill>
                </w14:textFill>
              </w:rPr>
            </w:pPr>
          </w:p>
        </w:tc>
        <w:tc>
          <w:tcPr>
            <w:tcW w:w="3108" w:type="dxa"/>
            <w:vAlign w:val="center"/>
          </w:tcPr>
          <w:p w14:paraId="3B2574F7">
            <w:pP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b)针对eMBB场景下的高安全要求应用场景，应支持二次身份认证授权、加密、专线等安全加强措施以保障应用安全。</w:t>
            </w:r>
          </w:p>
        </w:tc>
        <w:tc>
          <w:tcPr>
            <w:tcW w:w="850" w:type="dxa"/>
            <w:vAlign w:val="center"/>
          </w:tcPr>
          <w:p w14:paraId="2704FA87">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不涉及</w:t>
            </w:r>
          </w:p>
        </w:tc>
        <w:tc>
          <w:tcPr>
            <w:tcW w:w="2578" w:type="dxa"/>
            <w:vAlign w:val="center"/>
          </w:tcPr>
          <w:p w14:paraId="050BDBDF">
            <w:pP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该项目为基本的接入业务，且客户未提出较高安全需求，故此项暂不涉及。</w:t>
            </w:r>
          </w:p>
        </w:tc>
      </w:tr>
      <w:tr w14:paraId="51308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5" w:hRule="atLeast"/>
        </w:trPr>
        <w:tc>
          <w:tcPr>
            <w:tcW w:w="798" w:type="dxa"/>
            <w:vMerge w:val="continue"/>
            <w:vAlign w:val="center"/>
          </w:tcPr>
          <w:p w14:paraId="6FD0E064">
            <w:pPr>
              <w:jc w:val="center"/>
              <w:rPr>
                <w:rFonts w:hint="eastAsia" w:ascii="仿宋" w:hAnsi="仿宋" w:cs="仿宋_GB2312"/>
                <w:color w:val="000000" w:themeColor="text1"/>
                <w:kern w:val="0"/>
                <w:sz w:val="22"/>
                <w:szCs w:val="21"/>
                <w14:textFill>
                  <w14:solidFill>
                    <w14:schemeClr w14:val="tx1"/>
                  </w14:solidFill>
                </w14:textFill>
              </w:rPr>
            </w:pPr>
          </w:p>
        </w:tc>
        <w:tc>
          <w:tcPr>
            <w:tcW w:w="1476" w:type="dxa"/>
            <w:vMerge w:val="restart"/>
            <w:vAlign w:val="center"/>
          </w:tcPr>
          <w:p w14:paraId="3B3D4035">
            <w:pPr>
              <w:jc w:val="center"/>
              <w:rPr>
                <w:rFonts w:hint="eastAsia" w:ascii="仿宋" w:hAnsi="仿宋"/>
                <w:color w:val="000000"/>
                <w:kern w:val="0"/>
                <w:sz w:val="22"/>
                <w:szCs w:val="21"/>
              </w:rPr>
            </w:pPr>
            <w:r>
              <w:rPr>
                <w:rFonts w:hint="eastAsia" w:ascii="仿宋" w:hAnsi="仿宋"/>
                <w:color w:val="000000"/>
                <w:kern w:val="0"/>
                <w:sz w:val="22"/>
                <w:szCs w:val="21"/>
              </w:rPr>
              <w:t>1.1.2</w:t>
            </w:r>
          </w:p>
          <w:p w14:paraId="37D5100A">
            <w:pPr>
              <w:jc w:val="cente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超高可靠低时延（uRLLC）场景</w:t>
            </w:r>
          </w:p>
        </w:tc>
        <w:tc>
          <w:tcPr>
            <w:tcW w:w="3108" w:type="dxa"/>
            <w:vAlign w:val="center"/>
          </w:tcPr>
          <w:p w14:paraId="03D520DC">
            <w:pP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a)应具备uRLLC场景下的安全保障能力，部署相关技术措施，如优化业务接入认证、数据加解密安全机制以满足低时延场景的安全需求。</w:t>
            </w:r>
          </w:p>
        </w:tc>
        <w:tc>
          <w:tcPr>
            <w:tcW w:w="850" w:type="dxa"/>
            <w:vAlign w:val="center"/>
          </w:tcPr>
          <w:p w14:paraId="225A4781">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不涉及</w:t>
            </w:r>
          </w:p>
        </w:tc>
        <w:tc>
          <w:tcPr>
            <w:tcW w:w="2578" w:type="dxa"/>
            <w:vAlign w:val="center"/>
          </w:tcPr>
          <w:p w14:paraId="7C75E073">
            <w:pP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该项目不涉及uRLLC应用场景。</w:t>
            </w:r>
          </w:p>
        </w:tc>
      </w:tr>
      <w:tr w14:paraId="1E6FD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5" w:hRule="atLeast"/>
        </w:trPr>
        <w:tc>
          <w:tcPr>
            <w:tcW w:w="798" w:type="dxa"/>
            <w:vMerge w:val="continue"/>
            <w:vAlign w:val="center"/>
          </w:tcPr>
          <w:p w14:paraId="4E6A1A1F">
            <w:pPr>
              <w:jc w:val="center"/>
              <w:rPr>
                <w:rFonts w:hint="eastAsia" w:ascii="仿宋" w:hAnsi="仿宋" w:cs="仿宋_GB2312"/>
                <w:color w:val="000000" w:themeColor="text1"/>
                <w:kern w:val="0"/>
                <w:sz w:val="22"/>
                <w:szCs w:val="21"/>
                <w14:textFill>
                  <w14:solidFill>
                    <w14:schemeClr w14:val="tx1"/>
                  </w14:solidFill>
                </w14:textFill>
              </w:rPr>
            </w:pPr>
          </w:p>
        </w:tc>
        <w:tc>
          <w:tcPr>
            <w:tcW w:w="1476" w:type="dxa"/>
            <w:vMerge w:val="continue"/>
            <w:vAlign w:val="center"/>
          </w:tcPr>
          <w:p w14:paraId="577907A7">
            <w:pPr>
              <w:jc w:val="center"/>
              <w:rPr>
                <w:rFonts w:hint="eastAsia" w:ascii="仿宋" w:hAnsi="仿宋" w:cs="仿宋_GB2312"/>
                <w:color w:val="000000" w:themeColor="text1"/>
                <w:kern w:val="0"/>
                <w:sz w:val="22"/>
                <w:szCs w:val="21"/>
                <w14:textFill>
                  <w14:solidFill>
                    <w14:schemeClr w14:val="tx1"/>
                  </w14:solidFill>
                </w14:textFill>
              </w:rPr>
            </w:pPr>
          </w:p>
        </w:tc>
        <w:tc>
          <w:tcPr>
            <w:tcW w:w="3108" w:type="dxa"/>
            <w:vAlign w:val="center"/>
          </w:tcPr>
          <w:p w14:paraId="59277D30">
            <w:pP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b)针对uRLLC场景下的高安全要求应用场景，企业应支持建立应用层双向身份认证、数据完整性保护等安全加强措施以保障业务安全。</w:t>
            </w:r>
          </w:p>
        </w:tc>
        <w:tc>
          <w:tcPr>
            <w:tcW w:w="850" w:type="dxa"/>
            <w:vAlign w:val="center"/>
          </w:tcPr>
          <w:p w14:paraId="5AFA8D60">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不涉及</w:t>
            </w:r>
          </w:p>
        </w:tc>
        <w:tc>
          <w:tcPr>
            <w:tcW w:w="2578" w:type="dxa"/>
            <w:vAlign w:val="center"/>
          </w:tcPr>
          <w:p w14:paraId="590E8E24">
            <w:pP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该项目不涉及uRLLC应用场景。</w:t>
            </w:r>
          </w:p>
        </w:tc>
      </w:tr>
      <w:tr w14:paraId="3F60D6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0" w:hRule="atLeast"/>
        </w:trPr>
        <w:tc>
          <w:tcPr>
            <w:tcW w:w="798" w:type="dxa"/>
            <w:vMerge w:val="continue"/>
            <w:vAlign w:val="center"/>
          </w:tcPr>
          <w:p w14:paraId="434AECEA">
            <w:pPr>
              <w:jc w:val="center"/>
              <w:rPr>
                <w:rFonts w:hint="eastAsia" w:ascii="仿宋" w:hAnsi="仿宋" w:cs="仿宋_GB2312"/>
                <w:color w:val="000000" w:themeColor="text1"/>
                <w:kern w:val="0"/>
                <w:sz w:val="22"/>
                <w:szCs w:val="21"/>
                <w14:textFill>
                  <w14:solidFill>
                    <w14:schemeClr w14:val="tx1"/>
                  </w14:solidFill>
                </w14:textFill>
              </w:rPr>
            </w:pPr>
          </w:p>
        </w:tc>
        <w:tc>
          <w:tcPr>
            <w:tcW w:w="1476" w:type="dxa"/>
            <w:vMerge w:val="restart"/>
            <w:vAlign w:val="center"/>
          </w:tcPr>
          <w:p w14:paraId="2C6FA247">
            <w:pPr>
              <w:jc w:val="center"/>
              <w:rPr>
                <w:rFonts w:hint="eastAsia" w:ascii="仿宋" w:hAnsi="仿宋"/>
                <w:color w:val="000000"/>
                <w:kern w:val="0"/>
                <w:sz w:val="22"/>
                <w:szCs w:val="21"/>
              </w:rPr>
            </w:pPr>
            <w:r>
              <w:rPr>
                <w:rFonts w:hint="eastAsia" w:ascii="仿宋" w:hAnsi="仿宋"/>
                <w:color w:val="000000"/>
                <w:kern w:val="0"/>
                <w:sz w:val="22"/>
                <w:szCs w:val="21"/>
              </w:rPr>
              <w:t>1.1.3</w:t>
            </w:r>
          </w:p>
          <w:p w14:paraId="51B14C64">
            <w:pPr>
              <w:jc w:val="cente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海量机器类通信（mMTC）场景</w:t>
            </w:r>
          </w:p>
        </w:tc>
        <w:tc>
          <w:tcPr>
            <w:tcW w:w="3108" w:type="dxa"/>
            <w:vAlign w:val="center"/>
          </w:tcPr>
          <w:p w14:paraId="19CC86ED">
            <w:pP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a)应具备mMTC场景下的安全保障能力，部署相关技术措施，如面向海量机器类通信的安全监测处置模型、分布式身份管理、轻量级的认证和数据完整性保护等，以满足mMTC场景下海量终端接入、认证节点集中带来的安全风险。</w:t>
            </w:r>
          </w:p>
        </w:tc>
        <w:tc>
          <w:tcPr>
            <w:tcW w:w="850" w:type="dxa"/>
            <w:vAlign w:val="center"/>
          </w:tcPr>
          <w:p w14:paraId="5660E978">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不涉及</w:t>
            </w:r>
          </w:p>
        </w:tc>
        <w:tc>
          <w:tcPr>
            <w:tcW w:w="2578" w:type="dxa"/>
            <w:vAlign w:val="center"/>
          </w:tcPr>
          <w:p w14:paraId="5EE98359">
            <w:pP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该项目不涉及mMTC应用场景。</w:t>
            </w:r>
          </w:p>
        </w:tc>
      </w:tr>
      <w:tr w14:paraId="7ABE2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5" w:hRule="atLeast"/>
        </w:trPr>
        <w:tc>
          <w:tcPr>
            <w:tcW w:w="798" w:type="dxa"/>
            <w:vMerge w:val="continue"/>
            <w:vAlign w:val="center"/>
          </w:tcPr>
          <w:p w14:paraId="0115DA05">
            <w:pPr>
              <w:jc w:val="center"/>
              <w:rPr>
                <w:rFonts w:hint="eastAsia" w:ascii="仿宋" w:hAnsi="仿宋" w:cs="仿宋_GB2312"/>
                <w:color w:val="000000" w:themeColor="text1"/>
                <w:kern w:val="0"/>
                <w:sz w:val="22"/>
                <w:szCs w:val="21"/>
                <w14:textFill>
                  <w14:solidFill>
                    <w14:schemeClr w14:val="tx1"/>
                  </w14:solidFill>
                </w14:textFill>
              </w:rPr>
            </w:pPr>
          </w:p>
        </w:tc>
        <w:tc>
          <w:tcPr>
            <w:tcW w:w="1476" w:type="dxa"/>
            <w:vMerge w:val="continue"/>
            <w:vAlign w:val="center"/>
          </w:tcPr>
          <w:p w14:paraId="3E599FE6">
            <w:pPr>
              <w:jc w:val="center"/>
              <w:rPr>
                <w:rFonts w:hint="eastAsia" w:ascii="仿宋" w:hAnsi="仿宋" w:cs="仿宋_GB2312"/>
                <w:color w:val="000000" w:themeColor="text1"/>
                <w:kern w:val="0"/>
                <w:sz w:val="22"/>
                <w:szCs w:val="21"/>
                <w14:textFill>
                  <w14:solidFill>
                    <w14:schemeClr w14:val="tx1"/>
                  </w14:solidFill>
                </w14:textFill>
              </w:rPr>
            </w:pPr>
          </w:p>
        </w:tc>
        <w:tc>
          <w:tcPr>
            <w:tcW w:w="3108" w:type="dxa"/>
            <w:vAlign w:val="center"/>
          </w:tcPr>
          <w:p w14:paraId="0F58093C">
            <w:pPr>
              <w:rPr>
                <w:rFonts w:hint="eastAsia" w:ascii="仿宋" w:hAnsi="仿宋" w:cs="仿宋_GB2312"/>
                <w:color w:val="000000" w:themeColor="text1"/>
                <w:kern w:val="0"/>
                <w:sz w:val="22"/>
                <w:szCs w:val="21"/>
                <w14:textFill>
                  <w14:solidFill>
                    <w14:schemeClr w14:val="tx1"/>
                  </w14:solidFill>
                </w14:textFill>
              </w:rPr>
            </w:pPr>
            <w:r>
              <w:rPr>
                <w:rFonts w:hint="eastAsia" w:ascii="仿宋" w:hAnsi="仿宋"/>
                <w:color w:val="000000"/>
                <w:kern w:val="0"/>
                <w:sz w:val="22"/>
                <w:szCs w:val="21"/>
              </w:rPr>
              <w:t>b)针对mMTC场景下的高安全要求应用场景，企业应支持终端二次认证、加密保护等能满足相关需求的安全加强措施。</w:t>
            </w:r>
          </w:p>
        </w:tc>
        <w:tc>
          <w:tcPr>
            <w:tcW w:w="850" w:type="dxa"/>
            <w:vAlign w:val="center"/>
          </w:tcPr>
          <w:p w14:paraId="3F66F719">
            <w:pPr>
              <w:jc w:val="cente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不涉及</w:t>
            </w:r>
          </w:p>
        </w:tc>
        <w:tc>
          <w:tcPr>
            <w:tcW w:w="2578" w:type="dxa"/>
            <w:vAlign w:val="center"/>
          </w:tcPr>
          <w:p w14:paraId="6C224BAD">
            <w:pPr>
              <w:rPr>
                <w:rFonts w:hint="eastAsia" w:ascii="仿宋_GB2312" w:hAnsi="仿宋_GB2312" w:eastAsia="仿宋_GB2312" w:cs="仿宋_GB2312"/>
                <w:color w:val="000000" w:themeColor="text1"/>
                <w:kern w:val="0"/>
                <w:sz w:val="22"/>
                <w:szCs w:val="21"/>
                <w14:textFill>
                  <w14:solidFill>
                    <w14:schemeClr w14:val="tx1"/>
                  </w14:solidFill>
                </w14:textFill>
              </w:rPr>
            </w:pPr>
            <w:r>
              <w:rPr>
                <w:rFonts w:hint="eastAsia" w:ascii="仿宋_GB2312" w:hAnsi="仿宋_GB2312" w:eastAsia="仿宋_GB2312" w:cs="仿宋_GB2312"/>
                <w:color w:val="000000" w:themeColor="text1"/>
                <w:kern w:val="0"/>
                <w:sz w:val="22"/>
                <w:szCs w:val="21"/>
                <w14:textFill>
                  <w14:solidFill>
                    <w14:schemeClr w14:val="tx1"/>
                  </w14:solidFill>
                </w14:textFill>
              </w:rPr>
              <w:t>该项目不涉及mMTC应用场景。</w:t>
            </w:r>
          </w:p>
        </w:tc>
      </w:tr>
    </w:tbl>
    <w:p w14:paraId="6B902D32">
      <w:pPr>
        <w:spacing w:line="360" w:lineRule="auto"/>
        <w:ind w:firstLine="440" w:firstLineChars="200"/>
        <w:rPr>
          <w:rFonts w:hint="eastAsia" w:ascii="仿宋_GB2312" w:hAnsi="仿宋_GB2312" w:eastAsia="仿宋_GB2312" w:cs="仿宋_GB2312"/>
          <w:color w:val="000000" w:themeColor="text1"/>
          <w:sz w:val="22"/>
          <w:szCs w:val="21"/>
          <w14:textFill>
            <w14:solidFill>
              <w14:schemeClr w14:val="tx1"/>
            </w14:solidFill>
          </w14:textFill>
        </w:rPr>
      </w:pPr>
      <w:r>
        <w:rPr>
          <w:rFonts w:hint="eastAsia" w:ascii="仿宋_GB2312" w:hAnsi="仿宋_GB2312" w:eastAsia="仿宋_GB2312" w:cs="仿宋_GB2312"/>
          <w:color w:val="000000" w:themeColor="text1"/>
          <w:sz w:val="22"/>
          <w:szCs w:val="21"/>
          <w14:textFill>
            <w14:solidFill>
              <w14:schemeClr w14:val="tx1"/>
            </w14:solidFill>
          </w14:textFill>
        </w:rPr>
        <w:t>该</w:t>
      </w:r>
      <w:r>
        <w:rPr>
          <w:rFonts w:ascii="仿宋_GB2312" w:hAnsi="仿宋_GB2312" w:eastAsia="仿宋_GB2312" w:cs="仿宋_GB2312"/>
          <w:color w:val="000000" w:themeColor="text1"/>
          <w:sz w:val="22"/>
          <w:szCs w:val="21"/>
          <w14:textFill>
            <w14:solidFill>
              <w14:schemeClr w14:val="tx1"/>
            </w14:solidFill>
          </w14:textFill>
        </w:rPr>
        <w:t>5</w:t>
      </w:r>
      <w:r>
        <w:rPr>
          <w:rFonts w:hint="eastAsia" w:ascii="仿宋_GB2312" w:hAnsi="仿宋_GB2312" w:eastAsia="仿宋_GB2312" w:cs="仿宋_GB2312"/>
          <w:color w:val="000000" w:themeColor="text1"/>
          <w:sz w:val="22"/>
          <w:szCs w:val="21"/>
          <w14:textFill>
            <w14:solidFill>
              <w14:schemeClr w14:val="tx1"/>
            </w14:solidFill>
          </w14:textFill>
        </w:rPr>
        <w:t>G行业应用涉及eMBB场景。</w:t>
      </w:r>
    </w:p>
    <w:p w14:paraId="1522C8FC">
      <w:pPr>
        <w:spacing w:line="360" w:lineRule="auto"/>
        <w:ind w:firstLine="440" w:firstLineChars="200"/>
        <w:rPr>
          <w:rFonts w:hint="eastAsia" w:ascii="仿宋_GB2312" w:hAnsi="仿宋_GB2312" w:eastAsia="仿宋_GB2312" w:cs="仿宋_GB2312"/>
          <w:color w:val="000000" w:themeColor="text1"/>
          <w:sz w:val="22"/>
          <w:szCs w:val="21"/>
          <w14:textFill>
            <w14:solidFill>
              <w14:schemeClr w14:val="tx1"/>
            </w14:solidFill>
          </w14:textFill>
        </w:rPr>
      </w:pPr>
      <w:r>
        <w:rPr>
          <w:rFonts w:hint="eastAsia" w:ascii="仿宋_GB2312" w:hAnsi="仿宋_GB2312" w:eastAsia="仿宋_GB2312" w:cs="仿宋_GB2312"/>
          <w:color w:val="000000" w:themeColor="text1"/>
          <w:sz w:val="22"/>
          <w:szCs w:val="21"/>
          <w14:textFill>
            <w14:solidFill>
              <w14:schemeClr w14:val="tx1"/>
            </w14:solidFill>
          </w14:textFill>
        </w:rPr>
        <w:t>针对eMBB场景，拥有安全保障能力如下：</w:t>
      </w:r>
    </w:p>
    <w:p w14:paraId="72851BB9">
      <w:pPr>
        <w:spacing w:line="360" w:lineRule="auto"/>
        <w:ind w:firstLine="440" w:firstLineChars="200"/>
        <w:rPr>
          <w:rFonts w:hint="eastAsia" w:ascii="仿宋_GB2312" w:hAnsi="仿宋_GB2312" w:eastAsia="仿宋_GB2312" w:cs="仿宋_GB2312"/>
          <w:color w:val="000000" w:themeColor="text1"/>
          <w:sz w:val="22"/>
          <w:szCs w:val="21"/>
          <w14:textFill>
            <w14:solidFill>
              <w14:schemeClr w14:val="tx1"/>
            </w14:solidFill>
          </w14:textFill>
        </w:rPr>
      </w:pPr>
      <w:r>
        <w:rPr>
          <w:rFonts w:hint="eastAsia" w:ascii="仿宋_GB2312" w:hAnsi="仿宋_GB2312" w:eastAsia="仿宋_GB2312" w:cs="仿宋_GB2312"/>
          <w:color w:val="000000" w:themeColor="text1"/>
          <w:sz w:val="22"/>
          <w:szCs w:val="21"/>
          <w14:textFill>
            <w14:solidFill>
              <w14:schemeClr w14:val="tx1"/>
            </w14:solidFill>
          </w14:textFill>
        </w:rPr>
        <w:t>于共享型UPF边界处部署有防火墙，用于专网与行业网络的基本隔离，且可满足该流量等级下的正常运行和安全防护；复用大区公网安全资源池，提供流量清洗等安全能力，提升大流量下的安全处理能力。</w:t>
      </w:r>
    </w:p>
    <w:p w14:paraId="7785808A">
      <w:pPr>
        <w:pStyle w:val="4"/>
        <w:numPr>
          <w:ilvl w:val="2"/>
          <w:numId w:val="2"/>
        </w:numPr>
        <w:rPr>
          <w:sz w:val="28"/>
          <w:szCs w:val="28"/>
        </w:rPr>
      </w:pPr>
      <w:bookmarkStart w:id="28" w:name="_Toc144073335"/>
      <w:r>
        <w:rPr>
          <w:rFonts w:hint="eastAsia"/>
          <w:sz w:val="28"/>
          <w:szCs w:val="28"/>
        </w:rPr>
        <w:t>5</w:t>
      </w:r>
      <w:r>
        <w:rPr>
          <w:sz w:val="28"/>
          <w:szCs w:val="28"/>
        </w:rPr>
        <w:t>G</w:t>
      </w:r>
      <w:r>
        <w:rPr>
          <w:rFonts w:hint="eastAsia"/>
          <w:sz w:val="28"/>
          <w:szCs w:val="28"/>
        </w:rPr>
        <w:t>应用通用安全</w:t>
      </w:r>
      <w:bookmarkEnd w:id="28"/>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6"/>
        <w:gridCol w:w="1381"/>
        <w:gridCol w:w="2836"/>
        <w:gridCol w:w="815"/>
        <w:gridCol w:w="2524"/>
      </w:tblGrid>
      <w:tr w14:paraId="7D2A3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atLeast"/>
          <w:jc w:val="center"/>
        </w:trPr>
        <w:tc>
          <w:tcPr>
            <w:tcW w:w="990" w:type="dxa"/>
            <w:vAlign w:val="center"/>
          </w:tcPr>
          <w:p w14:paraId="57A1238B">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评估模块</w:t>
            </w:r>
          </w:p>
        </w:tc>
        <w:tc>
          <w:tcPr>
            <w:tcW w:w="1415" w:type="dxa"/>
            <w:vAlign w:val="center"/>
          </w:tcPr>
          <w:p w14:paraId="5BDD7D9C">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评估指标</w:t>
            </w:r>
          </w:p>
        </w:tc>
        <w:tc>
          <w:tcPr>
            <w:tcW w:w="2943" w:type="dxa"/>
            <w:vAlign w:val="center"/>
          </w:tcPr>
          <w:p w14:paraId="5B28BC03">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评估内容</w:t>
            </w:r>
          </w:p>
        </w:tc>
        <w:tc>
          <w:tcPr>
            <w:tcW w:w="836" w:type="dxa"/>
            <w:vAlign w:val="center"/>
          </w:tcPr>
          <w:p w14:paraId="44C19FF9">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评估意见</w:t>
            </w:r>
          </w:p>
        </w:tc>
        <w:tc>
          <w:tcPr>
            <w:tcW w:w="2626" w:type="dxa"/>
            <w:vAlign w:val="center"/>
          </w:tcPr>
          <w:p w14:paraId="5322E7FA">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研判依据</w:t>
            </w:r>
          </w:p>
        </w:tc>
      </w:tr>
      <w:tr w14:paraId="2BCAC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jc w:val="center"/>
        </w:trPr>
        <w:tc>
          <w:tcPr>
            <w:tcW w:w="990" w:type="dxa"/>
            <w:vMerge w:val="restart"/>
            <w:vAlign w:val="center"/>
          </w:tcPr>
          <w:p w14:paraId="579E9B4F">
            <w:pPr>
              <w:widowControl/>
              <w:jc w:val="center"/>
              <w:rPr>
                <w:rFonts w:hint="eastAsia" w:ascii="仿宋" w:hAnsi="仿宋"/>
                <w:color w:val="000000"/>
                <w:kern w:val="0"/>
                <w:szCs w:val="21"/>
              </w:rPr>
            </w:pPr>
            <w:r>
              <w:rPr>
                <w:rFonts w:hint="eastAsia" w:ascii="仿宋" w:hAnsi="仿宋"/>
                <w:color w:val="000000"/>
                <w:kern w:val="0"/>
                <w:szCs w:val="21"/>
              </w:rPr>
              <w:t>2.1</w:t>
            </w:r>
          </w:p>
          <w:p w14:paraId="7AB8FFD6">
            <w:pPr>
              <w:widowControl/>
              <w:jc w:val="center"/>
              <w:rPr>
                <w:rFonts w:hint="eastAsia" w:ascii="仿宋" w:hAnsi="仿宋"/>
                <w:color w:val="000000"/>
                <w:kern w:val="0"/>
                <w:szCs w:val="21"/>
              </w:rPr>
            </w:pPr>
            <w:r>
              <w:rPr>
                <w:rFonts w:hint="eastAsia" w:ascii="仿宋" w:hAnsi="仿宋"/>
                <w:color w:val="000000"/>
                <w:kern w:val="0"/>
                <w:szCs w:val="21"/>
              </w:rPr>
              <w:t>应用基础安全</w:t>
            </w:r>
          </w:p>
        </w:tc>
        <w:tc>
          <w:tcPr>
            <w:tcW w:w="1415" w:type="dxa"/>
            <w:vAlign w:val="center"/>
          </w:tcPr>
          <w:p w14:paraId="263BA24A">
            <w:pPr>
              <w:jc w:val="center"/>
              <w:rPr>
                <w:rFonts w:hint="eastAsia" w:ascii="仿宋" w:hAnsi="仿宋"/>
                <w:color w:val="000000"/>
                <w:kern w:val="0"/>
                <w:szCs w:val="21"/>
              </w:rPr>
            </w:pPr>
            <w:r>
              <w:rPr>
                <w:rFonts w:hint="eastAsia" w:ascii="仿宋" w:hAnsi="仿宋"/>
                <w:color w:val="000000"/>
                <w:kern w:val="0"/>
                <w:szCs w:val="21"/>
              </w:rPr>
              <w:t>2.1.1</w:t>
            </w:r>
          </w:p>
          <w:p w14:paraId="58CDB9F0">
            <w:pPr>
              <w:jc w:val="center"/>
              <w:rPr>
                <w:rFonts w:hint="eastAsia" w:ascii="仿宋" w:hAnsi="仿宋"/>
                <w:color w:val="000000"/>
                <w:kern w:val="0"/>
                <w:szCs w:val="21"/>
              </w:rPr>
            </w:pPr>
            <w:r>
              <w:rPr>
                <w:rFonts w:hint="eastAsia" w:ascii="仿宋" w:hAnsi="仿宋"/>
                <w:color w:val="000000"/>
                <w:kern w:val="0"/>
                <w:szCs w:val="21"/>
              </w:rPr>
              <w:t>项目规模</w:t>
            </w:r>
          </w:p>
        </w:tc>
        <w:tc>
          <w:tcPr>
            <w:tcW w:w="2943" w:type="dxa"/>
            <w:vAlign w:val="center"/>
          </w:tcPr>
          <w:p w14:paraId="676309D9">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应确定行业用户的应用规模情况，比如用户开卡数量。</w:t>
            </w:r>
          </w:p>
        </w:tc>
        <w:tc>
          <w:tcPr>
            <w:tcW w:w="836" w:type="dxa"/>
            <w:vAlign w:val="center"/>
          </w:tcPr>
          <w:p w14:paraId="5D7DA59E">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符合</w:t>
            </w:r>
          </w:p>
        </w:tc>
        <w:tc>
          <w:tcPr>
            <w:tcW w:w="2626" w:type="dxa"/>
            <w:vAlign w:val="center"/>
          </w:tcPr>
          <w:p w14:paraId="38478BCB">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2"/>
                <w14:textFill>
                  <w14:solidFill>
                    <w14:schemeClr w14:val="tx1"/>
                  </w14:solidFill>
                </w14:textFill>
              </w:rPr>
              <w:t>该项目用户规模清晰。</w:t>
            </w:r>
          </w:p>
        </w:tc>
      </w:tr>
      <w:tr w14:paraId="15A56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990" w:type="dxa"/>
            <w:vMerge w:val="continue"/>
            <w:vAlign w:val="center"/>
          </w:tcPr>
          <w:p w14:paraId="1E03F33C">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restart"/>
            <w:vAlign w:val="center"/>
          </w:tcPr>
          <w:p w14:paraId="189701B7">
            <w:pPr>
              <w:jc w:val="center"/>
              <w:rPr>
                <w:rFonts w:hint="eastAsia" w:ascii="仿宋" w:hAnsi="仿宋"/>
                <w:color w:val="000000"/>
                <w:kern w:val="0"/>
                <w:szCs w:val="21"/>
              </w:rPr>
            </w:pPr>
            <w:r>
              <w:rPr>
                <w:rFonts w:hint="eastAsia" w:ascii="仿宋" w:hAnsi="仿宋"/>
                <w:color w:val="000000"/>
                <w:kern w:val="0"/>
                <w:szCs w:val="21"/>
              </w:rPr>
              <w:t>2.1.2</w:t>
            </w:r>
          </w:p>
          <w:p w14:paraId="742996CE">
            <w:pPr>
              <w:jc w:val="center"/>
              <w:rPr>
                <w:rFonts w:hint="eastAsia" w:ascii="仿宋" w:hAnsi="仿宋" w:cs="仿宋_GB2312"/>
                <w:color w:val="000000" w:themeColor="text1"/>
                <w:kern w:val="0"/>
                <w:szCs w:val="21"/>
                <w14:textFill>
                  <w14:solidFill>
                    <w14:schemeClr w14:val="tx1"/>
                  </w14:solidFill>
                </w14:textFill>
              </w:rPr>
            </w:pPr>
            <w:r>
              <w:rPr>
                <w:rFonts w:hint="eastAsia" w:ascii="仿宋" w:hAnsi="仿宋"/>
                <w:color w:val="000000"/>
                <w:kern w:val="0"/>
                <w:szCs w:val="21"/>
              </w:rPr>
              <w:t>用户类型</w:t>
            </w:r>
          </w:p>
        </w:tc>
        <w:tc>
          <w:tcPr>
            <w:tcW w:w="2943" w:type="dxa"/>
            <w:vMerge w:val="restart"/>
            <w:vAlign w:val="center"/>
          </w:tcPr>
          <w:p w14:paraId="7A8B480E">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应确认行业用户的应用类型情况，明确用户所属行业类型和行业终端类型。</w:t>
            </w:r>
          </w:p>
        </w:tc>
        <w:tc>
          <w:tcPr>
            <w:tcW w:w="836" w:type="dxa"/>
            <w:vMerge w:val="restart"/>
            <w:vAlign w:val="center"/>
          </w:tcPr>
          <w:p w14:paraId="4C583E97">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符合</w:t>
            </w:r>
          </w:p>
        </w:tc>
        <w:tc>
          <w:tcPr>
            <w:tcW w:w="2626" w:type="dxa"/>
            <w:vMerge w:val="restart"/>
            <w:vAlign w:val="center"/>
          </w:tcPr>
          <w:p w14:paraId="70660A48">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2"/>
                <w14:textFill>
                  <w14:solidFill>
                    <w14:schemeClr w14:val="tx1"/>
                  </w14:solidFill>
                </w14:textFill>
              </w:rPr>
              <w:t>该项目用户类型清晰。</w:t>
            </w:r>
          </w:p>
        </w:tc>
      </w:tr>
      <w:tr w14:paraId="00282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990" w:type="dxa"/>
            <w:vMerge w:val="continue"/>
            <w:vAlign w:val="center"/>
          </w:tcPr>
          <w:p w14:paraId="067174CA">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continue"/>
            <w:vAlign w:val="center"/>
          </w:tcPr>
          <w:p w14:paraId="499A28C6">
            <w:pPr>
              <w:jc w:val="center"/>
              <w:rPr>
                <w:rFonts w:hint="eastAsia" w:ascii="仿宋" w:hAnsi="仿宋" w:cs="仿宋_GB2312"/>
                <w:color w:val="000000" w:themeColor="text1"/>
                <w:kern w:val="0"/>
                <w:szCs w:val="21"/>
                <w14:textFill>
                  <w14:solidFill>
                    <w14:schemeClr w14:val="tx1"/>
                  </w14:solidFill>
                </w14:textFill>
              </w:rPr>
            </w:pPr>
          </w:p>
        </w:tc>
        <w:tc>
          <w:tcPr>
            <w:tcW w:w="2943" w:type="dxa"/>
            <w:vMerge w:val="continue"/>
            <w:vAlign w:val="center"/>
          </w:tcPr>
          <w:p w14:paraId="3A1B0108">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39036639">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52757C23">
            <w:pPr>
              <w:rPr>
                <w:rFonts w:hint="eastAsia" w:ascii="仿宋_GB2312" w:hAnsi="仿宋_GB2312" w:eastAsia="仿宋_GB2312" w:cs="仿宋_GB2312"/>
                <w:color w:val="000000" w:themeColor="text1"/>
                <w:kern w:val="0"/>
                <w:szCs w:val="21"/>
                <w14:textFill>
                  <w14:solidFill>
                    <w14:schemeClr w14:val="tx1"/>
                  </w14:solidFill>
                </w14:textFill>
              </w:rPr>
            </w:pPr>
          </w:p>
        </w:tc>
      </w:tr>
      <w:tr w14:paraId="504E5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990" w:type="dxa"/>
            <w:vMerge w:val="continue"/>
            <w:vAlign w:val="center"/>
          </w:tcPr>
          <w:p w14:paraId="1F45CACE">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restart"/>
            <w:vAlign w:val="center"/>
          </w:tcPr>
          <w:p w14:paraId="5381F24A">
            <w:pPr>
              <w:jc w:val="center"/>
              <w:rPr>
                <w:rFonts w:hint="eastAsia" w:ascii="仿宋" w:hAnsi="仿宋"/>
                <w:color w:val="000000"/>
                <w:kern w:val="0"/>
                <w:szCs w:val="21"/>
              </w:rPr>
            </w:pPr>
            <w:r>
              <w:rPr>
                <w:rFonts w:hint="eastAsia" w:ascii="仿宋" w:hAnsi="仿宋"/>
                <w:color w:val="000000"/>
                <w:kern w:val="0"/>
                <w:szCs w:val="21"/>
              </w:rPr>
              <w:t>2.1.3</w:t>
            </w:r>
          </w:p>
          <w:p w14:paraId="3B38E49D">
            <w:pPr>
              <w:jc w:val="center"/>
              <w:rPr>
                <w:rFonts w:hint="eastAsia" w:ascii="仿宋" w:hAnsi="仿宋" w:cs="仿宋_GB2312"/>
                <w:color w:val="000000" w:themeColor="text1"/>
                <w:kern w:val="0"/>
                <w:szCs w:val="21"/>
                <w14:textFill>
                  <w14:solidFill>
                    <w14:schemeClr w14:val="tx1"/>
                  </w14:solidFill>
                </w14:textFill>
              </w:rPr>
            </w:pPr>
            <w:r>
              <w:rPr>
                <w:rFonts w:hint="eastAsia" w:ascii="仿宋" w:hAnsi="仿宋"/>
                <w:color w:val="000000"/>
                <w:kern w:val="0"/>
                <w:szCs w:val="21"/>
              </w:rPr>
              <w:t>行业用户身份信息</w:t>
            </w:r>
          </w:p>
        </w:tc>
        <w:tc>
          <w:tcPr>
            <w:tcW w:w="2943" w:type="dxa"/>
            <w:vMerge w:val="restart"/>
            <w:vAlign w:val="center"/>
          </w:tcPr>
          <w:p w14:paraId="10A72BD0">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应对行业用户身份信息进行认证登记，应留存行业用户单位有效证件（法人证书、经营许可证等）、责任人和经办人有效证件、责任人和经办人委托授权书以及经办人办理业务时的现场照片。</w:t>
            </w:r>
          </w:p>
        </w:tc>
        <w:tc>
          <w:tcPr>
            <w:tcW w:w="836" w:type="dxa"/>
            <w:vMerge w:val="restart"/>
            <w:vAlign w:val="center"/>
          </w:tcPr>
          <w:p w14:paraId="784876B1">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符合</w:t>
            </w:r>
          </w:p>
        </w:tc>
        <w:tc>
          <w:tcPr>
            <w:tcW w:w="2626" w:type="dxa"/>
            <w:vMerge w:val="restart"/>
            <w:vAlign w:val="center"/>
          </w:tcPr>
          <w:p w14:paraId="0EFE63FB">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该项目已留存用户法人信息与办理人身份信息。</w:t>
            </w:r>
          </w:p>
        </w:tc>
      </w:tr>
      <w:tr w14:paraId="71E76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jc w:val="center"/>
        </w:trPr>
        <w:tc>
          <w:tcPr>
            <w:tcW w:w="990" w:type="dxa"/>
            <w:vMerge w:val="continue"/>
            <w:vAlign w:val="center"/>
          </w:tcPr>
          <w:p w14:paraId="6916CDEC">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continue"/>
            <w:vAlign w:val="center"/>
          </w:tcPr>
          <w:p w14:paraId="2AE6C8B4">
            <w:pPr>
              <w:jc w:val="center"/>
              <w:rPr>
                <w:rFonts w:hint="eastAsia" w:ascii="仿宋" w:hAnsi="仿宋" w:cs="仿宋_GB2312"/>
                <w:color w:val="000000" w:themeColor="text1"/>
                <w:kern w:val="0"/>
                <w:szCs w:val="21"/>
                <w14:textFill>
                  <w14:solidFill>
                    <w14:schemeClr w14:val="tx1"/>
                  </w14:solidFill>
                </w14:textFill>
              </w:rPr>
            </w:pPr>
          </w:p>
        </w:tc>
        <w:tc>
          <w:tcPr>
            <w:tcW w:w="2943" w:type="dxa"/>
            <w:vMerge w:val="continue"/>
            <w:vAlign w:val="center"/>
          </w:tcPr>
          <w:p w14:paraId="72AE5F6E">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268FE816">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79C767D5">
            <w:pPr>
              <w:rPr>
                <w:rFonts w:hint="eastAsia" w:ascii="仿宋_GB2312" w:hAnsi="仿宋_GB2312" w:eastAsia="仿宋_GB2312" w:cs="仿宋_GB2312"/>
                <w:color w:val="000000" w:themeColor="text1"/>
                <w:kern w:val="0"/>
                <w:szCs w:val="21"/>
                <w14:textFill>
                  <w14:solidFill>
                    <w14:schemeClr w14:val="tx1"/>
                  </w14:solidFill>
                </w14:textFill>
              </w:rPr>
            </w:pPr>
          </w:p>
        </w:tc>
      </w:tr>
      <w:tr w14:paraId="68C51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jc w:val="center"/>
        </w:trPr>
        <w:tc>
          <w:tcPr>
            <w:tcW w:w="990" w:type="dxa"/>
            <w:vMerge w:val="continue"/>
            <w:vAlign w:val="center"/>
          </w:tcPr>
          <w:p w14:paraId="5469F302">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continue"/>
            <w:vAlign w:val="center"/>
          </w:tcPr>
          <w:p w14:paraId="7F9C785A">
            <w:pPr>
              <w:jc w:val="center"/>
              <w:rPr>
                <w:rFonts w:hint="eastAsia" w:ascii="仿宋" w:hAnsi="仿宋" w:cs="仿宋_GB2312"/>
                <w:color w:val="000000" w:themeColor="text1"/>
                <w:kern w:val="0"/>
                <w:szCs w:val="21"/>
                <w14:textFill>
                  <w14:solidFill>
                    <w14:schemeClr w14:val="tx1"/>
                  </w14:solidFill>
                </w14:textFill>
              </w:rPr>
            </w:pPr>
          </w:p>
        </w:tc>
        <w:tc>
          <w:tcPr>
            <w:tcW w:w="2943" w:type="dxa"/>
            <w:vMerge w:val="continue"/>
            <w:vAlign w:val="center"/>
          </w:tcPr>
          <w:p w14:paraId="30C212BA">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20553121">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7F4A845E">
            <w:pPr>
              <w:rPr>
                <w:rFonts w:hint="eastAsia" w:ascii="仿宋_GB2312" w:hAnsi="仿宋_GB2312" w:eastAsia="仿宋_GB2312" w:cs="仿宋_GB2312"/>
                <w:color w:val="000000" w:themeColor="text1"/>
                <w:kern w:val="0"/>
                <w:szCs w:val="21"/>
                <w14:textFill>
                  <w14:solidFill>
                    <w14:schemeClr w14:val="tx1"/>
                  </w14:solidFill>
                </w14:textFill>
              </w:rPr>
            </w:pPr>
          </w:p>
        </w:tc>
      </w:tr>
      <w:tr w14:paraId="3DF18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jc w:val="center"/>
        </w:trPr>
        <w:tc>
          <w:tcPr>
            <w:tcW w:w="990" w:type="dxa"/>
            <w:vMerge w:val="continue"/>
            <w:vAlign w:val="center"/>
          </w:tcPr>
          <w:p w14:paraId="6B502340">
            <w:pPr>
              <w:jc w:val="center"/>
              <w:rPr>
                <w:rFonts w:hint="eastAsia" w:ascii="仿宋" w:hAnsi="仿宋" w:cs="仿宋_GB2312"/>
                <w:color w:val="000000" w:themeColor="text1"/>
                <w:kern w:val="0"/>
                <w:szCs w:val="21"/>
                <w14:textFill>
                  <w14:solidFill>
                    <w14:schemeClr w14:val="tx1"/>
                  </w14:solidFill>
                </w14:textFill>
              </w:rPr>
            </w:pPr>
          </w:p>
        </w:tc>
        <w:tc>
          <w:tcPr>
            <w:tcW w:w="1415" w:type="dxa"/>
            <w:vAlign w:val="center"/>
          </w:tcPr>
          <w:p w14:paraId="7C653041">
            <w:pPr>
              <w:jc w:val="center"/>
              <w:rPr>
                <w:rFonts w:hint="eastAsia" w:ascii="仿宋" w:hAnsi="仿宋"/>
                <w:color w:val="000000"/>
                <w:kern w:val="0"/>
                <w:szCs w:val="21"/>
              </w:rPr>
            </w:pPr>
            <w:r>
              <w:rPr>
                <w:rFonts w:hint="eastAsia" w:ascii="仿宋" w:hAnsi="仿宋"/>
                <w:color w:val="000000"/>
                <w:kern w:val="0"/>
                <w:szCs w:val="21"/>
              </w:rPr>
              <w:t>2.1.4</w:t>
            </w:r>
          </w:p>
          <w:p w14:paraId="50F91DEE">
            <w:pPr>
              <w:jc w:val="center"/>
              <w:rPr>
                <w:rFonts w:hint="eastAsia" w:ascii="仿宋" w:hAnsi="仿宋" w:cs="仿宋_GB2312"/>
                <w:color w:val="000000" w:themeColor="text1"/>
                <w:kern w:val="0"/>
                <w:szCs w:val="21"/>
                <w14:textFill>
                  <w14:solidFill>
                    <w14:schemeClr w14:val="tx1"/>
                  </w14:solidFill>
                </w14:textFill>
              </w:rPr>
            </w:pPr>
            <w:r>
              <w:rPr>
                <w:rFonts w:hint="eastAsia" w:ascii="仿宋" w:hAnsi="仿宋"/>
                <w:color w:val="000000"/>
                <w:kern w:val="0"/>
                <w:szCs w:val="21"/>
              </w:rPr>
              <w:t>设备及网络环境</w:t>
            </w:r>
          </w:p>
        </w:tc>
        <w:tc>
          <w:tcPr>
            <w:tcW w:w="2943" w:type="dxa"/>
            <w:vAlign w:val="center"/>
          </w:tcPr>
          <w:p w14:paraId="7FFE1816">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应确认提供应用服务的设备及网络环境情况，如切片类型、专网模式（公网共用、混合共用和独立专用）、业务平台、MEC、5G 设备列表等。</w:t>
            </w:r>
          </w:p>
        </w:tc>
        <w:tc>
          <w:tcPr>
            <w:tcW w:w="836" w:type="dxa"/>
            <w:vAlign w:val="center"/>
          </w:tcPr>
          <w:p w14:paraId="51EF0205">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符合</w:t>
            </w:r>
          </w:p>
        </w:tc>
        <w:tc>
          <w:tcPr>
            <w:tcW w:w="2626" w:type="dxa"/>
            <w:vAlign w:val="center"/>
          </w:tcPr>
          <w:p w14:paraId="592D67BC">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2"/>
                <w14:textFill>
                  <w14:solidFill>
                    <w14:schemeClr w14:val="tx1"/>
                  </w14:solidFill>
                </w14:textFill>
              </w:rPr>
              <w:t>该项目的设备、切片模式、组网模式、业务平台情况均已掌握。</w:t>
            </w:r>
          </w:p>
        </w:tc>
      </w:tr>
      <w:tr w14:paraId="6B3DF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jc w:val="center"/>
        </w:trPr>
        <w:tc>
          <w:tcPr>
            <w:tcW w:w="990" w:type="dxa"/>
            <w:vMerge w:val="continue"/>
            <w:vAlign w:val="center"/>
          </w:tcPr>
          <w:p w14:paraId="753D1E7A">
            <w:pPr>
              <w:jc w:val="center"/>
              <w:rPr>
                <w:rFonts w:hint="eastAsia" w:ascii="仿宋" w:hAnsi="仿宋" w:cs="仿宋_GB2312"/>
                <w:color w:val="000000" w:themeColor="text1"/>
                <w:kern w:val="0"/>
                <w:szCs w:val="21"/>
                <w14:textFill>
                  <w14:solidFill>
                    <w14:schemeClr w14:val="tx1"/>
                  </w14:solidFill>
                </w14:textFill>
              </w:rPr>
            </w:pPr>
          </w:p>
        </w:tc>
        <w:tc>
          <w:tcPr>
            <w:tcW w:w="1415" w:type="dxa"/>
            <w:vAlign w:val="center"/>
          </w:tcPr>
          <w:p w14:paraId="44C71439">
            <w:pPr>
              <w:jc w:val="center"/>
              <w:rPr>
                <w:rFonts w:hint="eastAsia" w:ascii="仿宋" w:hAnsi="仿宋"/>
                <w:color w:val="000000"/>
                <w:kern w:val="0"/>
                <w:szCs w:val="21"/>
              </w:rPr>
            </w:pPr>
            <w:r>
              <w:rPr>
                <w:rFonts w:hint="eastAsia" w:ascii="仿宋" w:hAnsi="仿宋"/>
                <w:color w:val="000000"/>
                <w:kern w:val="0"/>
                <w:szCs w:val="21"/>
              </w:rPr>
              <w:t>2.1.5</w:t>
            </w:r>
          </w:p>
          <w:p w14:paraId="245FA9BF">
            <w:pPr>
              <w:jc w:val="center"/>
              <w:rPr>
                <w:rFonts w:hint="eastAsia" w:ascii="仿宋" w:hAnsi="仿宋" w:cs="仿宋_GB2312"/>
                <w:color w:val="000000" w:themeColor="text1"/>
                <w:kern w:val="0"/>
                <w:szCs w:val="21"/>
                <w14:textFill>
                  <w14:solidFill>
                    <w14:schemeClr w14:val="tx1"/>
                  </w14:solidFill>
                </w14:textFill>
              </w:rPr>
            </w:pPr>
            <w:r>
              <w:rPr>
                <w:rFonts w:hint="eastAsia" w:ascii="仿宋" w:hAnsi="仿宋"/>
                <w:color w:val="000000"/>
                <w:kern w:val="0"/>
                <w:szCs w:val="21"/>
              </w:rPr>
              <w:t>公共安全影响</w:t>
            </w:r>
          </w:p>
        </w:tc>
        <w:tc>
          <w:tcPr>
            <w:tcW w:w="2943" w:type="dxa"/>
            <w:vAlign w:val="center"/>
          </w:tcPr>
          <w:p w14:paraId="04FFD277">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应对行业应用是否会对公共安全造成影响进行评估。如果将对公共安全造成影响，需确定影响程度。</w:t>
            </w:r>
          </w:p>
        </w:tc>
        <w:tc>
          <w:tcPr>
            <w:tcW w:w="836" w:type="dxa"/>
            <w:vAlign w:val="center"/>
          </w:tcPr>
          <w:p w14:paraId="6539DD0B">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符合</w:t>
            </w:r>
          </w:p>
        </w:tc>
        <w:tc>
          <w:tcPr>
            <w:tcW w:w="2626" w:type="dxa"/>
            <w:vAlign w:val="center"/>
          </w:tcPr>
          <w:p w14:paraId="77E1E993">
            <w:pPr>
              <w:rPr>
                <w:rFonts w:hint="eastAsia" w:ascii="仿宋" w:hAnsi="仿宋"/>
                <w:kern w:val="0"/>
                <w:szCs w:val="22"/>
              </w:rPr>
            </w:pPr>
            <w:r>
              <w:rPr>
                <w:rFonts w:hint="eastAsia" w:ascii="仿宋_GB2312" w:hAnsi="仿宋_GB2312" w:eastAsia="仿宋_GB2312" w:cs="仿宋_GB2312"/>
                <w:color w:val="000000" w:themeColor="text1"/>
                <w:kern w:val="0"/>
                <w:szCs w:val="22"/>
                <w14:textFill>
                  <w14:solidFill>
                    <w14:schemeClr w14:val="tx1"/>
                  </w14:solidFill>
                </w14:textFill>
              </w:rPr>
              <w:t>经初步判断，该项目对公共安全造成的影响较小，</w:t>
            </w:r>
            <w:r>
              <w:rPr>
                <w:rFonts w:hint="eastAsia" w:ascii="仿宋" w:hAnsi="仿宋"/>
                <w:kern w:val="0"/>
                <w:szCs w:val="22"/>
              </w:rPr>
              <w:t>该项目只覆盖校园范围内，且主要为利用现有5G网络建设情况，使用CPE转接WIFI信号，与原有网络基本一致，受到破坏后对国家安全、社会秩序、经济运行和公共利益基本无损害；该项目重点为提升校园5G网络体验，为5G智慧校园打下坚实基础，承载业务以ToC应用流量以及校园网为主，同时存在替代链路，故服务重要性一般；</w:t>
            </w:r>
          </w:p>
          <w:p w14:paraId="30CAB2E6">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 w:hAnsi="仿宋"/>
                <w:kern w:val="0"/>
                <w:szCs w:val="22"/>
              </w:rPr>
              <w:t>该项目专网服务范围固定，规模不大，且存在替代链路，被破坏后对网络和业务运营商的合法权益损害较小。</w:t>
            </w:r>
          </w:p>
        </w:tc>
      </w:tr>
      <w:tr w14:paraId="0C220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jc w:val="center"/>
        </w:trPr>
        <w:tc>
          <w:tcPr>
            <w:tcW w:w="990" w:type="dxa"/>
            <w:vMerge w:val="restart"/>
            <w:vAlign w:val="center"/>
          </w:tcPr>
          <w:p w14:paraId="44272042">
            <w:pPr>
              <w:jc w:val="center"/>
              <w:rPr>
                <w:rFonts w:hint="eastAsia" w:ascii="仿宋" w:hAnsi="仿宋"/>
                <w:color w:val="000000"/>
                <w:kern w:val="0"/>
                <w:szCs w:val="21"/>
              </w:rPr>
            </w:pPr>
            <w:r>
              <w:rPr>
                <w:rFonts w:hint="eastAsia" w:ascii="仿宋" w:hAnsi="仿宋"/>
                <w:color w:val="000000"/>
                <w:kern w:val="0"/>
                <w:szCs w:val="21"/>
              </w:rPr>
              <w:t>2.2</w:t>
            </w:r>
          </w:p>
          <w:p w14:paraId="2C0D6DB4">
            <w:pPr>
              <w:jc w:val="center"/>
              <w:rPr>
                <w:rFonts w:hint="eastAsia" w:ascii="仿宋" w:hAnsi="仿宋"/>
                <w:color w:val="000000"/>
                <w:kern w:val="0"/>
                <w:szCs w:val="21"/>
              </w:rPr>
            </w:pPr>
            <w:r>
              <w:rPr>
                <w:rFonts w:hint="eastAsia" w:ascii="仿宋" w:hAnsi="仿宋"/>
                <w:color w:val="000000"/>
                <w:kern w:val="0"/>
                <w:szCs w:val="21"/>
              </w:rPr>
              <w:t>应用平台安全</w:t>
            </w:r>
          </w:p>
        </w:tc>
        <w:tc>
          <w:tcPr>
            <w:tcW w:w="1415" w:type="dxa"/>
            <w:vMerge w:val="restart"/>
            <w:vAlign w:val="center"/>
          </w:tcPr>
          <w:p w14:paraId="1A36512F">
            <w:pPr>
              <w:jc w:val="center"/>
              <w:rPr>
                <w:rFonts w:hint="eastAsia" w:ascii="仿宋" w:hAnsi="仿宋"/>
                <w:color w:val="000000"/>
                <w:kern w:val="0"/>
                <w:szCs w:val="21"/>
              </w:rPr>
            </w:pPr>
            <w:r>
              <w:rPr>
                <w:rFonts w:hint="eastAsia" w:ascii="仿宋" w:hAnsi="仿宋"/>
                <w:color w:val="000000"/>
                <w:kern w:val="0"/>
                <w:szCs w:val="21"/>
              </w:rPr>
              <w:t>2.2.1</w:t>
            </w:r>
          </w:p>
          <w:p w14:paraId="30D533CB">
            <w:pPr>
              <w:jc w:val="center"/>
              <w:rPr>
                <w:rFonts w:hint="eastAsia" w:ascii="仿宋" w:hAnsi="仿宋"/>
                <w:color w:val="000000"/>
                <w:kern w:val="0"/>
                <w:szCs w:val="21"/>
              </w:rPr>
            </w:pPr>
            <w:r>
              <w:rPr>
                <w:rFonts w:hint="eastAsia" w:ascii="仿宋" w:hAnsi="仿宋"/>
                <w:color w:val="000000"/>
                <w:kern w:val="0"/>
                <w:szCs w:val="21"/>
              </w:rPr>
              <w:t>应用平台物理安全</w:t>
            </w:r>
          </w:p>
        </w:tc>
        <w:tc>
          <w:tcPr>
            <w:tcW w:w="2943" w:type="dxa"/>
            <w:vMerge w:val="restart"/>
            <w:vAlign w:val="center"/>
          </w:tcPr>
          <w:p w14:paraId="7E30C3AA">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当企业为行业用户提供了5G应用平台时，应明确应用服务器、机房、节点的地理位置，应具备一定的管理措施和技术措施确保其物理环境安全。</w:t>
            </w:r>
          </w:p>
        </w:tc>
        <w:tc>
          <w:tcPr>
            <w:tcW w:w="836" w:type="dxa"/>
            <w:vMerge w:val="restart"/>
            <w:vAlign w:val="center"/>
          </w:tcPr>
          <w:p w14:paraId="2FCF578E">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不涉及</w:t>
            </w:r>
          </w:p>
        </w:tc>
        <w:tc>
          <w:tcPr>
            <w:tcW w:w="2626" w:type="dxa"/>
            <w:vMerge w:val="restart"/>
            <w:vAlign w:val="center"/>
          </w:tcPr>
          <w:p w14:paraId="405EB3BC">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该项目未向行业用户提供5G应用平台。</w:t>
            </w:r>
          </w:p>
        </w:tc>
      </w:tr>
      <w:tr w14:paraId="0640E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5" w:hRule="atLeast"/>
          <w:jc w:val="center"/>
        </w:trPr>
        <w:tc>
          <w:tcPr>
            <w:tcW w:w="990" w:type="dxa"/>
            <w:vMerge w:val="continue"/>
            <w:vAlign w:val="center"/>
          </w:tcPr>
          <w:p w14:paraId="0FBDFC24">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continue"/>
            <w:vAlign w:val="center"/>
          </w:tcPr>
          <w:p w14:paraId="067EBA36">
            <w:pPr>
              <w:jc w:val="center"/>
              <w:rPr>
                <w:rFonts w:hint="eastAsia" w:ascii="仿宋" w:hAnsi="仿宋" w:cs="仿宋_GB2312"/>
                <w:color w:val="000000" w:themeColor="text1"/>
                <w:kern w:val="0"/>
                <w:szCs w:val="21"/>
                <w14:textFill>
                  <w14:solidFill>
                    <w14:schemeClr w14:val="tx1"/>
                  </w14:solidFill>
                </w14:textFill>
              </w:rPr>
            </w:pPr>
          </w:p>
        </w:tc>
        <w:tc>
          <w:tcPr>
            <w:tcW w:w="2943" w:type="dxa"/>
            <w:vMerge w:val="continue"/>
            <w:vAlign w:val="center"/>
          </w:tcPr>
          <w:p w14:paraId="46BA67E2">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783020C4">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6965ECF9">
            <w:pPr>
              <w:rPr>
                <w:rFonts w:hint="eastAsia" w:ascii="仿宋_GB2312" w:hAnsi="仿宋_GB2312" w:eastAsia="仿宋_GB2312" w:cs="仿宋_GB2312"/>
                <w:color w:val="000000" w:themeColor="text1"/>
                <w:kern w:val="0"/>
                <w:szCs w:val="21"/>
                <w14:textFill>
                  <w14:solidFill>
                    <w14:schemeClr w14:val="tx1"/>
                  </w14:solidFill>
                </w14:textFill>
              </w:rPr>
            </w:pPr>
          </w:p>
        </w:tc>
      </w:tr>
      <w:tr w14:paraId="0BA2FF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jc w:val="center"/>
        </w:trPr>
        <w:tc>
          <w:tcPr>
            <w:tcW w:w="990" w:type="dxa"/>
            <w:vMerge w:val="continue"/>
            <w:vAlign w:val="center"/>
          </w:tcPr>
          <w:p w14:paraId="036AFC4D">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restart"/>
            <w:vAlign w:val="center"/>
          </w:tcPr>
          <w:p w14:paraId="3A5DD0A4">
            <w:pPr>
              <w:jc w:val="center"/>
              <w:rPr>
                <w:rFonts w:hint="eastAsia" w:ascii="仿宋" w:hAnsi="仿宋"/>
                <w:color w:val="000000"/>
                <w:kern w:val="0"/>
                <w:szCs w:val="21"/>
              </w:rPr>
            </w:pPr>
            <w:r>
              <w:rPr>
                <w:rFonts w:hint="eastAsia" w:ascii="仿宋" w:hAnsi="仿宋"/>
                <w:color w:val="000000"/>
                <w:kern w:val="0"/>
                <w:szCs w:val="21"/>
              </w:rPr>
              <w:t>2.2.2</w:t>
            </w:r>
          </w:p>
          <w:p w14:paraId="3C1A0609">
            <w:pPr>
              <w:jc w:val="center"/>
              <w:rPr>
                <w:rFonts w:hint="eastAsia" w:ascii="仿宋" w:hAnsi="仿宋" w:cs="仿宋_GB2312"/>
                <w:color w:val="000000" w:themeColor="text1"/>
                <w:kern w:val="0"/>
                <w:szCs w:val="21"/>
                <w14:textFill>
                  <w14:solidFill>
                    <w14:schemeClr w14:val="tx1"/>
                  </w14:solidFill>
                </w14:textFill>
              </w:rPr>
            </w:pPr>
            <w:r>
              <w:rPr>
                <w:rFonts w:hint="eastAsia" w:ascii="仿宋" w:hAnsi="仿宋"/>
                <w:color w:val="000000"/>
                <w:kern w:val="0"/>
                <w:szCs w:val="21"/>
              </w:rPr>
              <w:t>云计算/云服务安全</w:t>
            </w:r>
          </w:p>
        </w:tc>
        <w:tc>
          <w:tcPr>
            <w:tcW w:w="2943" w:type="dxa"/>
            <w:vMerge w:val="restart"/>
            <w:vAlign w:val="center"/>
          </w:tcPr>
          <w:p w14:paraId="4D6654AC">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当应用平台采用了云计算技术或采购第三方云服务时，应确保计算存储资源/云服务安全。</w:t>
            </w:r>
          </w:p>
        </w:tc>
        <w:tc>
          <w:tcPr>
            <w:tcW w:w="836" w:type="dxa"/>
            <w:vMerge w:val="restart"/>
            <w:vAlign w:val="center"/>
          </w:tcPr>
          <w:p w14:paraId="69CB164F">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不涉及</w:t>
            </w:r>
          </w:p>
        </w:tc>
        <w:tc>
          <w:tcPr>
            <w:tcW w:w="2626" w:type="dxa"/>
            <w:vMerge w:val="restart"/>
            <w:vAlign w:val="center"/>
          </w:tcPr>
          <w:p w14:paraId="2F23CE02">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该项目未采用第三方云服务。</w:t>
            </w:r>
          </w:p>
        </w:tc>
      </w:tr>
      <w:tr w14:paraId="3F71C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990" w:type="dxa"/>
            <w:vMerge w:val="continue"/>
            <w:vAlign w:val="center"/>
          </w:tcPr>
          <w:p w14:paraId="0730334F">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continue"/>
            <w:vAlign w:val="center"/>
          </w:tcPr>
          <w:p w14:paraId="5F2D0975">
            <w:pPr>
              <w:jc w:val="center"/>
              <w:rPr>
                <w:rFonts w:hint="eastAsia" w:ascii="仿宋" w:hAnsi="仿宋" w:cs="仿宋_GB2312"/>
                <w:color w:val="000000" w:themeColor="text1"/>
                <w:kern w:val="0"/>
                <w:szCs w:val="21"/>
                <w14:textFill>
                  <w14:solidFill>
                    <w14:schemeClr w14:val="tx1"/>
                  </w14:solidFill>
                </w14:textFill>
              </w:rPr>
            </w:pPr>
          </w:p>
        </w:tc>
        <w:tc>
          <w:tcPr>
            <w:tcW w:w="2943" w:type="dxa"/>
            <w:vMerge w:val="continue"/>
            <w:vAlign w:val="center"/>
          </w:tcPr>
          <w:p w14:paraId="5DD0AA57">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2923A778">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57DC7498">
            <w:pPr>
              <w:rPr>
                <w:rFonts w:hint="eastAsia" w:ascii="仿宋_GB2312" w:hAnsi="仿宋_GB2312" w:eastAsia="仿宋_GB2312" w:cs="仿宋_GB2312"/>
                <w:color w:val="000000" w:themeColor="text1"/>
                <w:kern w:val="0"/>
                <w:szCs w:val="21"/>
                <w14:textFill>
                  <w14:solidFill>
                    <w14:schemeClr w14:val="tx1"/>
                  </w14:solidFill>
                </w14:textFill>
              </w:rPr>
            </w:pPr>
          </w:p>
        </w:tc>
      </w:tr>
      <w:tr w14:paraId="5CAE2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atLeast"/>
          <w:jc w:val="center"/>
        </w:trPr>
        <w:tc>
          <w:tcPr>
            <w:tcW w:w="990" w:type="dxa"/>
            <w:vMerge w:val="restart"/>
            <w:vAlign w:val="center"/>
          </w:tcPr>
          <w:p w14:paraId="0B22FC4E">
            <w:pPr>
              <w:jc w:val="center"/>
              <w:rPr>
                <w:rFonts w:hint="eastAsia" w:ascii="仿宋" w:hAnsi="仿宋"/>
                <w:color w:val="000000"/>
                <w:kern w:val="0"/>
                <w:szCs w:val="21"/>
              </w:rPr>
            </w:pPr>
            <w:r>
              <w:rPr>
                <w:rFonts w:hint="eastAsia" w:ascii="仿宋" w:hAnsi="仿宋"/>
                <w:color w:val="000000"/>
                <w:kern w:val="0"/>
                <w:szCs w:val="21"/>
              </w:rPr>
              <w:t>2.3</w:t>
            </w:r>
          </w:p>
          <w:p w14:paraId="5835F5BB">
            <w:pPr>
              <w:jc w:val="center"/>
              <w:rPr>
                <w:rFonts w:hint="eastAsia" w:ascii="仿宋" w:hAnsi="仿宋"/>
                <w:color w:val="000000"/>
                <w:kern w:val="0"/>
                <w:szCs w:val="21"/>
              </w:rPr>
            </w:pPr>
            <w:r>
              <w:rPr>
                <w:rFonts w:hint="eastAsia" w:ascii="仿宋" w:hAnsi="仿宋"/>
                <w:color w:val="000000"/>
                <w:kern w:val="0"/>
                <w:szCs w:val="21"/>
              </w:rPr>
              <w:t>业务合作安全</w:t>
            </w:r>
          </w:p>
        </w:tc>
        <w:tc>
          <w:tcPr>
            <w:tcW w:w="1415" w:type="dxa"/>
            <w:vAlign w:val="center"/>
          </w:tcPr>
          <w:p w14:paraId="2920E605">
            <w:pPr>
              <w:jc w:val="center"/>
              <w:rPr>
                <w:rFonts w:hint="eastAsia" w:ascii="仿宋" w:hAnsi="仿宋"/>
                <w:color w:val="000000"/>
                <w:kern w:val="0"/>
                <w:szCs w:val="21"/>
              </w:rPr>
            </w:pPr>
            <w:r>
              <w:rPr>
                <w:rFonts w:hint="eastAsia" w:ascii="仿宋" w:hAnsi="仿宋"/>
                <w:color w:val="000000"/>
                <w:kern w:val="0"/>
                <w:szCs w:val="21"/>
              </w:rPr>
              <w:t>2.3.1</w:t>
            </w:r>
          </w:p>
          <w:p w14:paraId="6E25148C">
            <w:pPr>
              <w:jc w:val="center"/>
              <w:rPr>
                <w:rFonts w:hint="eastAsia" w:ascii="仿宋" w:hAnsi="仿宋"/>
                <w:color w:val="000000"/>
                <w:kern w:val="0"/>
                <w:szCs w:val="21"/>
              </w:rPr>
            </w:pPr>
            <w:r>
              <w:rPr>
                <w:rFonts w:hint="eastAsia" w:ascii="仿宋" w:hAnsi="仿宋"/>
                <w:color w:val="000000"/>
                <w:kern w:val="0"/>
                <w:szCs w:val="21"/>
              </w:rPr>
              <w:t>合作方式合规性评估</w:t>
            </w:r>
          </w:p>
        </w:tc>
        <w:tc>
          <w:tcPr>
            <w:tcW w:w="2943" w:type="dxa"/>
            <w:vAlign w:val="center"/>
          </w:tcPr>
          <w:p w14:paraId="1F922AAF">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应对合作方式进行合规性评估，确保应用合作模式符合行业经营管理相关规定。</w:t>
            </w:r>
          </w:p>
        </w:tc>
        <w:tc>
          <w:tcPr>
            <w:tcW w:w="836" w:type="dxa"/>
            <w:vAlign w:val="center"/>
          </w:tcPr>
          <w:p w14:paraId="457C3DBC">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不涉及</w:t>
            </w:r>
          </w:p>
        </w:tc>
        <w:tc>
          <w:tcPr>
            <w:tcW w:w="2626" w:type="dxa"/>
            <w:vAlign w:val="center"/>
          </w:tcPr>
          <w:p w14:paraId="4A593E0C">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该项目不涉及第三方合作。</w:t>
            </w:r>
          </w:p>
        </w:tc>
      </w:tr>
      <w:tr w14:paraId="004893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990" w:type="dxa"/>
            <w:vMerge w:val="continue"/>
            <w:vAlign w:val="center"/>
          </w:tcPr>
          <w:p w14:paraId="2080B699">
            <w:pPr>
              <w:jc w:val="center"/>
              <w:rPr>
                <w:rFonts w:hint="eastAsia" w:ascii="仿宋" w:hAnsi="仿宋" w:cs="仿宋_GB2312"/>
                <w:color w:val="000000" w:themeColor="text1"/>
                <w:kern w:val="0"/>
                <w:szCs w:val="21"/>
                <w14:textFill>
                  <w14:solidFill>
                    <w14:schemeClr w14:val="tx1"/>
                  </w14:solidFill>
                </w14:textFill>
              </w:rPr>
            </w:pPr>
          </w:p>
        </w:tc>
        <w:tc>
          <w:tcPr>
            <w:tcW w:w="1415" w:type="dxa"/>
            <w:vMerge w:val="restart"/>
            <w:vAlign w:val="center"/>
          </w:tcPr>
          <w:p w14:paraId="04E9D7A3">
            <w:pPr>
              <w:jc w:val="center"/>
              <w:rPr>
                <w:rFonts w:hint="eastAsia" w:ascii="仿宋" w:hAnsi="仿宋"/>
                <w:color w:val="000000"/>
                <w:kern w:val="0"/>
                <w:szCs w:val="21"/>
              </w:rPr>
            </w:pPr>
            <w:r>
              <w:rPr>
                <w:rFonts w:hint="eastAsia" w:ascii="仿宋" w:hAnsi="仿宋"/>
                <w:color w:val="000000"/>
                <w:kern w:val="0"/>
                <w:szCs w:val="21"/>
              </w:rPr>
              <w:t>2.3.2</w:t>
            </w:r>
          </w:p>
          <w:p w14:paraId="1A0249B4">
            <w:pPr>
              <w:jc w:val="center"/>
              <w:rPr>
                <w:rFonts w:hint="eastAsia" w:ascii="仿宋" w:hAnsi="仿宋" w:cs="仿宋_GB2312"/>
                <w:color w:val="000000" w:themeColor="text1"/>
                <w:kern w:val="0"/>
                <w:szCs w:val="21"/>
                <w14:textFill>
                  <w14:solidFill>
                    <w14:schemeClr w14:val="tx1"/>
                  </w14:solidFill>
                </w14:textFill>
              </w:rPr>
            </w:pPr>
            <w:r>
              <w:rPr>
                <w:rFonts w:hint="eastAsia" w:ascii="仿宋" w:hAnsi="仿宋"/>
                <w:color w:val="000000"/>
                <w:kern w:val="0"/>
                <w:szCs w:val="21"/>
              </w:rPr>
              <w:t>合作企业安全保障能力</w:t>
            </w:r>
          </w:p>
        </w:tc>
        <w:tc>
          <w:tcPr>
            <w:tcW w:w="2943" w:type="dxa"/>
            <w:vMerge w:val="restart"/>
            <w:vAlign w:val="center"/>
          </w:tcPr>
          <w:p w14:paraId="64D24EC9">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应对合作企业的安全保障能力进行评估，确保其信息安全管理工作及保障措施可以满足相关法律法规要求，可以保障应用的信息安全。</w:t>
            </w:r>
          </w:p>
        </w:tc>
        <w:tc>
          <w:tcPr>
            <w:tcW w:w="836" w:type="dxa"/>
            <w:vMerge w:val="restart"/>
            <w:vAlign w:val="center"/>
          </w:tcPr>
          <w:p w14:paraId="73257166">
            <w:pPr>
              <w:jc w:val="cente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不涉及</w:t>
            </w:r>
          </w:p>
        </w:tc>
        <w:tc>
          <w:tcPr>
            <w:tcW w:w="2626" w:type="dxa"/>
            <w:vMerge w:val="restart"/>
            <w:vAlign w:val="center"/>
          </w:tcPr>
          <w:p w14:paraId="7E7C43F9">
            <w:pPr>
              <w:rPr>
                <w:rFonts w:hint="eastAsia" w:ascii="仿宋_GB2312" w:hAnsi="仿宋_GB2312" w:eastAsia="仿宋_GB2312" w:cs="仿宋_GB2312"/>
                <w:color w:val="000000" w:themeColor="text1"/>
                <w:kern w:val="0"/>
                <w:szCs w:val="21"/>
                <w14:textFill>
                  <w14:solidFill>
                    <w14:schemeClr w14:val="tx1"/>
                  </w14:solidFill>
                </w14:textFill>
              </w:rPr>
            </w:pPr>
            <w:r>
              <w:rPr>
                <w:rFonts w:hint="eastAsia" w:ascii="仿宋_GB2312" w:hAnsi="仿宋_GB2312" w:eastAsia="仿宋_GB2312" w:cs="仿宋_GB2312"/>
                <w:color w:val="000000" w:themeColor="text1"/>
                <w:kern w:val="0"/>
                <w:szCs w:val="21"/>
                <w14:textFill>
                  <w14:solidFill>
                    <w14:schemeClr w14:val="tx1"/>
                  </w14:solidFill>
                </w14:textFill>
              </w:rPr>
              <w:t>该项目不涉及第三方合作。</w:t>
            </w:r>
          </w:p>
        </w:tc>
      </w:tr>
      <w:tr w14:paraId="6BCE6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990" w:type="dxa"/>
            <w:vMerge w:val="continue"/>
            <w:vAlign w:val="center"/>
          </w:tcPr>
          <w:p w14:paraId="7B46F351">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1415" w:type="dxa"/>
            <w:vMerge w:val="continue"/>
            <w:vAlign w:val="center"/>
          </w:tcPr>
          <w:p w14:paraId="6BF1532D">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943" w:type="dxa"/>
            <w:vMerge w:val="continue"/>
            <w:vAlign w:val="center"/>
          </w:tcPr>
          <w:p w14:paraId="2410CB07">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334991C0">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28695429">
            <w:pPr>
              <w:rPr>
                <w:rFonts w:hint="eastAsia" w:ascii="仿宋_GB2312" w:hAnsi="仿宋_GB2312" w:eastAsia="仿宋_GB2312" w:cs="仿宋_GB2312"/>
                <w:color w:val="000000" w:themeColor="text1"/>
                <w:kern w:val="0"/>
                <w:szCs w:val="21"/>
                <w14:textFill>
                  <w14:solidFill>
                    <w14:schemeClr w14:val="tx1"/>
                  </w14:solidFill>
                </w14:textFill>
              </w:rPr>
            </w:pPr>
          </w:p>
        </w:tc>
      </w:tr>
      <w:tr w14:paraId="4E26F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990" w:type="dxa"/>
            <w:vMerge w:val="continue"/>
            <w:vAlign w:val="center"/>
          </w:tcPr>
          <w:p w14:paraId="677DF163">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1415" w:type="dxa"/>
            <w:vMerge w:val="continue"/>
            <w:vAlign w:val="center"/>
          </w:tcPr>
          <w:p w14:paraId="65A2572D">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943" w:type="dxa"/>
            <w:vMerge w:val="continue"/>
            <w:vAlign w:val="center"/>
          </w:tcPr>
          <w:p w14:paraId="1FF74EFD">
            <w:pPr>
              <w:rPr>
                <w:rFonts w:hint="eastAsia" w:ascii="仿宋_GB2312" w:hAnsi="仿宋_GB2312" w:eastAsia="仿宋_GB2312" w:cs="仿宋_GB2312"/>
                <w:color w:val="000000" w:themeColor="text1"/>
                <w:kern w:val="0"/>
                <w:szCs w:val="21"/>
                <w14:textFill>
                  <w14:solidFill>
                    <w14:schemeClr w14:val="tx1"/>
                  </w14:solidFill>
                </w14:textFill>
              </w:rPr>
            </w:pPr>
          </w:p>
        </w:tc>
        <w:tc>
          <w:tcPr>
            <w:tcW w:w="836" w:type="dxa"/>
            <w:vMerge w:val="continue"/>
            <w:vAlign w:val="center"/>
          </w:tcPr>
          <w:p w14:paraId="6D9DFA21">
            <w:pPr>
              <w:jc w:val="center"/>
              <w:rPr>
                <w:rFonts w:hint="eastAsia" w:ascii="仿宋_GB2312" w:hAnsi="仿宋_GB2312" w:eastAsia="仿宋_GB2312" w:cs="仿宋_GB2312"/>
                <w:color w:val="000000" w:themeColor="text1"/>
                <w:kern w:val="0"/>
                <w:szCs w:val="21"/>
                <w14:textFill>
                  <w14:solidFill>
                    <w14:schemeClr w14:val="tx1"/>
                  </w14:solidFill>
                </w14:textFill>
              </w:rPr>
            </w:pPr>
          </w:p>
        </w:tc>
        <w:tc>
          <w:tcPr>
            <w:tcW w:w="2626" w:type="dxa"/>
            <w:vMerge w:val="continue"/>
            <w:vAlign w:val="center"/>
          </w:tcPr>
          <w:p w14:paraId="6091A2FF">
            <w:pPr>
              <w:rPr>
                <w:rFonts w:hint="eastAsia" w:ascii="仿宋_GB2312" w:hAnsi="仿宋_GB2312" w:eastAsia="仿宋_GB2312" w:cs="仿宋_GB2312"/>
                <w:color w:val="000000" w:themeColor="text1"/>
                <w:kern w:val="0"/>
                <w:szCs w:val="21"/>
                <w14:textFill>
                  <w14:solidFill>
                    <w14:schemeClr w14:val="tx1"/>
                  </w14:solidFill>
                </w14:textFill>
              </w:rPr>
            </w:pPr>
          </w:p>
        </w:tc>
      </w:tr>
    </w:tbl>
    <w:p w14:paraId="47D586C8">
      <w:pPr>
        <w:spacing w:line="360" w:lineRule="auto"/>
        <w:rPr>
          <w:rFonts w:hint="eastAsia" w:ascii="仿宋_GB2312" w:hAnsi="仿宋_GB2312" w:eastAsia="仿宋_GB2312" w:cs="仿宋_GB2312"/>
          <w:color w:val="000000" w:themeColor="text1"/>
          <w:sz w:val="24"/>
          <w:szCs w:val="22"/>
          <w14:textFill>
            <w14:solidFill>
              <w14:schemeClr w14:val="tx1"/>
            </w14:solidFill>
          </w14:textFill>
        </w:rPr>
      </w:pPr>
      <w:r>
        <w:rPr>
          <w:rFonts w:ascii="仿宋_GB2312" w:hAnsi="仿宋_GB2312" w:eastAsia="仿宋_GB2312" w:cs="仿宋_GB2312"/>
          <w:color w:val="000000" w:themeColor="text1"/>
          <w:sz w:val="24"/>
          <w:szCs w:val="22"/>
          <w14:textFill>
            <w14:solidFill>
              <w14:schemeClr w14:val="tx1"/>
            </w14:solidFill>
          </w14:textFill>
        </w:rPr>
        <w:t>5G</w:t>
      </w:r>
      <w:r>
        <w:rPr>
          <w:rFonts w:hint="eastAsia" w:ascii="仿宋_GB2312" w:hAnsi="仿宋_GB2312" w:eastAsia="仿宋_GB2312" w:cs="仿宋_GB2312"/>
          <w:color w:val="000000" w:themeColor="text1"/>
          <w:sz w:val="24"/>
          <w:szCs w:val="22"/>
          <w14:textFill>
            <w14:solidFill>
              <w14:schemeClr w14:val="tx1"/>
            </w14:solidFill>
          </w14:textFill>
        </w:rPr>
        <w:t>应用通用安全共有</w:t>
      </w:r>
      <w:r>
        <w:rPr>
          <w:rFonts w:ascii="仿宋_GB2312" w:hAnsi="仿宋_GB2312" w:eastAsia="仿宋_GB2312" w:cs="仿宋_GB2312"/>
          <w:color w:val="000000" w:themeColor="text1"/>
          <w:sz w:val="24"/>
          <w:szCs w:val="22"/>
          <w14:textFill>
            <w14:solidFill>
              <w14:schemeClr w14:val="tx1"/>
            </w14:solidFill>
          </w14:textFill>
        </w:rPr>
        <w:t>9</w:t>
      </w:r>
      <w:r>
        <w:rPr>
          <w:rFonts w:hint="eastAsia" w:ascii="仿宋_GB2312" w:hAnsi="仿宋_GB2312" w:eastAsia="仿宋_GB2312" w:cs="仿宋_GB2312"/>
          <w:color w:val="000000" w:themeColor="text1"/>
          <w:sz w:val="24"/>
          <w:szCs w:val="22"/>
          <w14:textFill>
            <w14:solidFill>
              <w14:schemeClr w14:val="tx1"/>
            </w14:solidFill>
          </w14:textFill>
        </w:rPr>
        <w:t>个评估项，其中不涉及项</w:t>
      </w:r>
      <w:r>
        <w:rPr>
          <w:rFonts w:ascii="仿宋_GB2312" w:hAnsi="仿宋_GB2312" w:eastAsia="仿宋_GB2312" w:cs="仿宋_GB2312"/>
          <w:color w:val="000000" w:themeColor="text1"/>
          <w:sz w:val="24"/>
          <w:szCs w:val="22"/>
          <w14:textFill>
            <w14:solidFill>
              <w14:schemeClr w14:val="tx1"/>
            </w14:solidFill>
          </w14:textFill>
        </w:rPr>
        <w:t>4</w:t>
      </w:r>
      <w:r>
        <w:rPr>
          <w:rFonts w:hint="eastAsia" w:ascii="仿宋_GB2312" w:hAnsi="仿宋_GB2312" w:eastAsia="仿宋_GB2312" w:cs="仿宋_GB2312"/>
          <w:color w:val="000000" w:themeColor="text1"/>
          <w:sz w:val="24"/>
          <w:szCs w:val="22"/>
          <w14:textFill>
            <w14:solidFill>
              <w14:schemeClr w14:val="tx1"/>
            </w14:solidFill>
          </w14:textFill>
        </w:rPr>
        <w:t>个，符合项</w:t>
      </w:r>
      <w:r>
        <w:rPr>
          <w:rFonts w:ascii="仿宋_GB2312" w:hAnsi="仿宋_GB2312" w:eastAsia="仿宋_GB2312" w:cs="仿宋_GB2312"/>
          <w:color w:val="000000" w:themeColor="text1"/>
          <w:sz w:val="24"/>
          <w:szCs w:val="22"/>
          <w14:textFill>
            <w14:solidFill>
              <w14:schemeClr w14:val="tx1"/>
            </w14:solidFill>
          </w14:textFill>
        </w:rPr>
        <w:t>5</w:t>
      </w:r>
      <w:r>
        <w:rPr>
          <w:rFonts w:hint="eastAsia" w:ascii="仿宋_GB2312" w:hAnsi="仿宋_GB2312" w:eastAsia="仿宋_GB2312" w:cs="仿宋_GB2312"/>
          <w:color w:val="000000" w:themeColor="text1"/>
          <w:sz w:val="24"/>
          <w:szCs w:val="22"/>
          <w14:textFill>
            <w14:solidFill>
              <w14:schemeClr w14:val="tx1"/>
            </w14:solidFill>
          </w14:textFill>
        </w:rPr>
        <w:t>个，不符合项</w:t>
      </w:r>
      <w:r>
        <w:rPr>
          <w:rFonts w:ascii="仿宋_GB2312" w:hAnsi="仿宋_GB2312" w:eastAsia="仿宋_GB2312" w:cs="仿宋_GB2312"/>
          <w:color w:val="000000" w:themeColor="text1"/>
          <w:sz w:val="24"/>
          <w:szCs w:val="22"/>
          <w14:textFill>
            <w14:solidFill>
              <w14:schemeClr w14:val="tx1"/>
            </w14:solidFill>
          </w14:textFill>
        </w:rPr>
        <w:t>0</w:t>
      </w:r>
      <w:r>
        <w:rPr>
          <w:rFonts w:hint="eastAsia" w:ascii="仿宋_GB2312" w:hAnsi="仿宋_GB2312" w:eastAsia="仿宋_GB2312" w:cs="仿宋_GB2312"/>
          <w:color w:val="000000" w:themeColor="text1"/>
          <w:sz w:val="24"/>
          <w:szCs w:val="22"/>
          <w14:textFill>
            <w14:solidFill>
              <w14:schemeClr w14:val="tx1"/>
            </w14:solidFill>
          </w14:textFill>
        </w:rPr>
        <w:t>个。</w:t>
      </w:r>
    </w:p>
    <w:p w14:paraId="65A08EBB">
      <w:pPr>
        <w:spacing w:line="360" w:lineRule="auto"/>
        <w:rPr>
          <w:rFonts w:hint="eastAsia" w:ascii="仿宋_GB2312" w:hAnsi="仿宋_GB2312" w:eastAsia="仿宋_GB2312" w:cs="仿宋_GB2312"/>
          <w:color w:val="000000" w:themeColor="text1"/>
          <w:sz w:val="24"/>
          <w:szCs w:val="22"/>
          <w14:textFill>
            <w14:solidFill>
              <w14:schemeClr w14:val="tx1"/>
            </w14:solidFill>
          </w14:textFill>
        </w:rPr>
      </w:pPr>
      <w:r>
        <w:rPr>
          <w:rFonts w:hint="eastAsia" w:ascii="仿宋_GB2312" w:hAnsi="仿宋_GB2312" w:eastAsia="仿宋_GB2312" w:cs="仿宋_GB2312"/>
          <w:color w:val="000000" w:themeColor="text1"/>
          <w:sz w:val="24"/>
          <w:szCs w:val="22"/>
          <w14:textFill>
            <w14:solidFill>
              <w14:schemeClr w14:val="tx1"/>
            </w14:solidFill>
          </w14:textFill>
        </w:rPr>
        <w:t>评估材料如下：</w:t>
      </w:r>
    </w:p>
    <w:p w14:paraId="5B90813C">
      <w:pPr>
        <w:pStyle w:val="5"/>
        <w:numPr>
          <w:ilvl w:val="3"/>
          <w:numId w:val="2"/>
        </w:numPr>
        <w:rPr>
          <w:rFonts w:hint="eastAsia"/>
        </w:rPr>
      </w:pPr>
      <w:r>
        <w:rPr>
          <w:rFonts w:hint="eastAsia"/>
        </w:rPr>
        <w:t>应用基础安全</w:t>
      </w:r>
    </w:p>
    <w:p w14:paraId="51BACAD0">
      <w:pPr>
        <w:pStyle w:val="49"/>
        <w:numPr>
          <w:ilvl w:val="0"/>
          <w:numId w:val="4"/>
        </w:numPr>
        <w:spacing w:before="53" w:after="15" w:afterLines="5"/>
        <w:ind w:firstLineChars="0"/>
        <w:rPr>
          <w:sz w:val="24"/>
          <w:szCs w:val="22"/>
        </w:rPr>
      </w:pPr>
      <w:r>
        <w:rPr>
          <w:rFonts w:hint="eastAsia"/>
          <w:sz w:val="24"/>
          <w:szCs w:val="22"/>
        </w:rPr>
        <w:t>应确定行业用户的应用规模情况，比如用户开卡数量。</w:t>
      </w:r>
    </w:p>
    <w:p w14:paraId="06037C9C">
      <w:pPr>
        <w:pStyle w:val="49"/>
        <w:spacing w:after="12"/>
        <w:ind w:left="480" w:firstLine="0" w:firstLineChars="0"/>
        <w:rPr>
          <w:b/>
          <w:bCs/>
          <w:sz w:val="24"/>
          <w:szCs w:val="22"/>
        </w:rPr>
      </w:pPr>
      <w:r>
        <w:rPr>
          <w:rFonts w:hint="eastAsia"/>
          <w:b/>
          <w:bCs/>
          <w:sz w:val="24"/>
          <w:szCs w:val="22"/>
        </w:rPr>
        <w:t>评估结果：符合。</w:t>
      </w:r>
    </w:p>
    <w:p w14:paraId="4ED0277D">
      <w:pPr>
        <w:pStyle w:val="49"/>
        <w:tabs>
          <w:tab w:val="left" w:pos="420"/>
        </w:tabs>
        <w:spacing w:after="12"/>
        <w:ind w:firstLine="480"/>
        <w:rPr>
          <w:sz w:val="24"/>
          <w:szCs w:val="22"/>
        </w:rPr>
      </w:pPr>
      <w:r>
        <w:rPr>
          <w:rFonts w:hint="eastAsia"/>
          <w:sz w:val="24"/>
          <w:szCs w:val="22"/>
        </w:rPr>
        <w:t>该项目开物联网卡6张，用于5</w:t>
      </w:r>
      <w:r>
        <w:rPr>
          <w:sz w:val="24"/>
          <w:szCs w:val="22"/>
        </w:rPr>
        <w:t>G</w:t>
      </w:r>
      <w:r>
        <w:rPr>
          <w:rFonts w:hint="eastAsia"/>
          <w:sz w:val="24"/>
          <w:szCs w:val="22"/>
        </w:rPr>
        <w:t>工业C</w:t>
      </w:r>
      <w:r>
        <w:rPr>
          <w:sz w:val="24"/>
          <w:szCs w:val="22"/>
        </w:rPr>
        <w:t>PE</w:t>
      </w:r>
      <w:r>
        <w:rPr>
          <w:rFonts w:hint="eastAsia"/>
          <w:sz w:val="24"/>
          <w:szCs w:val="22"/>
        </w:rPr>
        <w:t>。</w:t>
      </w:r>
    </w:p>
    <w:p w14:paraId="2287D6CE">
      <w:pPr>
        <w:pStyle w:val="49"/>
        <w:tabs>
          <w:tab w:val="left" w:pos="420"/>
        </w:tabs>
        <w:spacing w:after="12"/>
        <w:ind w:firstLineChars="175"/>
        <w:rPr>
          <w:sz w:val="24"/>
          <w:szCs w:val="22"/>
        </w:rPr>
      </w:pPr>
    </w:p>
    <w:p w14:paraId="504861FE">
      <w:pPr>
        <w:pStyle w:val="49"/>
        <w:spacing w:after="12"/>
        <w:ind w:firstLine="480"/>
        <w:rPr>
          <w:sz w:val="24"/>
          <w:szCs w:val="22"/>
        </w:rPr>
      </w:pPr>
      <w:r>
        <w:rPr>
          <w:rFonts w:hint="eastAsia"/>
          <w:sz w:val="24"/>
          <w:szCs w:val="22"/>
        </w:rPr>
        <w:t>b) 应确认行业用户的应用类型情况，明确用户所属行业类型和行业终端类型。</w:t>
      </w:r>
    </w:p>
    <w:p w14:paraId="03E44038">
      <w:pPr>
        <w:pStyle w:val="49"/>
        <w:spacing w:after="12"/>
        <w:ind w:left="480" w:firstLine="0" w:firstLineChars="0"/>
        <w:rPr>
          <w:sz w:val="24"/>
          <w:szCs w:val="22"/>
        </w:rPr>
      </w:pPr>
      <w:r>
        <w:rPr>
          <w:rFonts w:hint="eastAsia"/>
          <w:sz w:val="24"/>
          <w:szCs w:val="22"/>
        </w:rPr>
        <w:t>评估结果：符合。</w:t>
      </w:r>
    </w:p>
    <w:p w14:paraId="668049E1">
      <w:pPr>
        <w:pStyle w:val="49"/>
        <w:spacing w:after="12"/>
        <w:ind w:firstLineChars="0"/>
        <w:rPr>
          <w:sz w:val="24"/>
          <w:szCs w:val="22"/>
        </w:rPr>
      </w:pPr>
      <w:r>
        <w:rPr>
          <w:rFonts w:hint="eastAsia"/>
          <w:sz w:val="24"/>
          <w:szCs w:val="22"/>
        </w:rPr>
        <w:t>该项目应用类型为设备接入，接入网关为5</w:t>
      </w:r>
      <w:r>
        <w:rPr>
          <w:sz w:val="24"/>
          <w:szCs w:val="22"/>
        </w:rPr>
        <w:t>G</w:t>
      </w:r>
      <w:r>
        <w:rPr>
          <w:rFonts w:hint="eastAsia"/>
          <w:sz w:val="24"/>
          <w:szCs w:val="22"/>
        </w:rPr>
        <w:t>工业</w:t>
      </w:r>
      <w:r>
        <w:rPr>
          <w:sz w:val="24"/>
          <w:szCs w:val="22"/>
        </w:rPr>
        <w:t>CPE</w:t>
      </w:r>
      <w:r>
        <w:rPr>
          <w:rFonts w:hint="eastAsia"/>
          <w:sz w:val="24"/>
          <w:szCs w:val="22"/>
        </w:rPr>
        <w:t>。</w:t>
      </w:r>
    </w:p>
    <w:p w14:paraId="629F3D04">
      <w:pPr>
        <w:pStyle w:val="49"/>
        <w:spacing w:after="12"/>
        <w:ind w:firstLine="480"/>
        <w:rPr>
          <w:sz w:val="24"/>
          <w:szCs w:val="22"/>
        </w:rPr>
      </w:pPr>
      <w:r>
        <w:rPr>
          <w:rFonts w:hint="eastAsia"/>
          <w:sz w:val="24"/>
          <w:szCs w:val="22"/>
        </w:rPr>
        <w:t>c) 应对行业用户身份信息进行认证登记，应留存行业用户单位有效证件（法人证书、经营许可证等）、责任人和经办人有效证件、责任人和经办人委托授权书以及经办人办理业务时的现场照片。</w:t>
      </w:r>
    </w:p>
    <w:p w14:paraId="11F49B19">
      <w:pPr>
        <w:pStyle w:val="49"/>
        <w:spacing w:after="12"/>
        <w:ind w:left="480" w:firstLine="0" w:firstLineChars="0"/>
        <w:rPr>
          <w:sz w:val="24"/>
          <w:szCs w:val="22"/>
        </w:rPr>
      </w:pPr>
      <w:r>
        <w:rPr>
          <w:rFonts w:hint="eastAsia"/>
          <w:sz w:val="24"/>
          <w:szCs w:val="22"/>
        </w:rPr>
        <w:t>评估结果：符合。</w:t>
      </w:r>
    </w:p>
    <w:p w14:paraId="6FEEBCFC">
      <w:pPr>
        <w:pStyle w:val="49"/>
        <w:spacing w:after="12"/>
        <w:ind w:left="480" w:firstLine="0" w:firstLineChars="0"/>
        <w:rPr>
          <w:sz w:val="24"/>
          <w:szCs w:val="22"/>
        </w:rPr>
      </w:pPr>
      <w:r>
        <w:rPr>
          <w:rFonts w:hint="eastAsia"/>
          <w:sz w:val="24"/>
          <w:szCs w:val="22"/>
        </w:rPr>
        <w:drawing>
          <wp:inline distT="0" distB="0" distL="0" distR="0">
            <wp:extent cx="5600700" cy="3940175"/>
            <wp:effectExtent l="0" t="0" r="0" b="3175"/>
            <wp:docPr id="10" name="图片 10"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屏幕截图&#10;&#10;AI 生成的内容可能不正确。"/>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700" cy="3940175"/>
                    </a:xfrm>
                    <a:prstGeom prst="rect">
                      <a:avLst/>
                    </a:prstGeom>
                  </pic:spPr>
                </pic:pic>
              </a:graphicData>
            </a:graphic>
          </wp:inline>
        </w:drawing>
      </w:r>
    </w:p>
    <w:p w14:paraId="3486C2F3">
      <w:pPr>
        <w:rPr>
          <w:rFonts w:hint="eastAsia"/>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方正黑体_GBK">
    <w:altName w:val="Arial Unicode MS"/>
    <w:panose1 w:val="03000509000000000000"/>
    <w:charset w:val="86"/>
    <w:family w:val="script"/>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仿宋_GB2312">
    <w:panose1 w:val="02010609030101010101"/>
    <w:charset w:val="86"/>
    <w:family w:val="modern"/>
    <w:pitch w:val="default"/>
    <w:sig w:usb0="00000001"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9811E9"/>
    <w:multiLevelType w:val="multilevel"/>
    <w:tmpl w:val="039811E9"/>
    <w:lvl w:ilvl="0" w:tentative="0">
      <w:start w:val="1"/>
      <w:numFmt w:val="lowerLetter"/>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D4A6397"/>
    <w:multiLevelType w:val="multilevel"/>
    <w:tmpl w:val="1D4A6397"/>
    <w:lvl w:ilvl="0" w:tentative="0">
      <w:start w:val="1"/>
      <w:numFmt w:val="bullet"/>
      <w:lvlText w:val=""/>
      <w:lvlJc w:val="left"/>
      <w:pPr>
        <w:ind w:left="1060" w:hanging="420"/>
      </w:pPr>
      <w:rPr>
        <w:rFonts w:hint="default" w:ascii="Wingdings" w:hAnsi="Wingdings"/>
      </w:rPr>
    </w:lvl>
    <w:lvl w:ilvl="1" w:tentative="0">
      <w:start w:val="1"/>
      <w:numFmt w:val="bullet"/>
      <w:lvlText w:val=""/>
      <w:lvlJc w:val="left"/>
      <w:pPr>
        <w:ind w:left="1480" w:hanging="420"/>
      </w:pPr>
      <w:rPr>
        <w:rFonts w:hint="default" w:ascii="Wingdings" w:hAnsi="Wingdings"/>
      </w:rPr>
    </w:lvl>
    <w:lvl w:ilvl="2" w:tentative="0">
      <w:start w:val="1"/>
      <w:numFmt w:val="bullet"/>
      <w:lvlText w:val=""/>
      <w:lvlJc w:val="left"/>
      <w:pPr>
        <w:ind w:left="1900" w:hanging="420"/>
      </w:pPr>
      <w:rPr>
        <w:rFonts w:hint="default" w:ascii="Wingdings" w:hAnsi="Wingdings"/>
      </w:rPr>
    </w:lvl>
    <w:lvl w:ilvl="3" w:tentative="0">
      <w:start w:val="1"/>
      <w:numFmt w:val="bullet"/>
      <w:lvlText w:val=""/>
      <w:lvlJc w:val="left"/>
      <w:pPr>
        <w:ind w:left="2320" w:hanging="420"/>
      </w:pPr>
      <w:rPr>
        <w:rFonts w:hint="default" w:ascii="Wingdings" w:hAnsi="Wingdings"/>
      </w:rPr>
    </w:lvl>
    <w:lvl w:ilvl="4" w:tentative="0">
      <w:start w:val="1"/>
      <w:numFmt w:val="bullet"/>
      <w:lvlText w:val=""/>
      <w:lvlJc w:val="left"/>
      <w:pPr>
        <w:ind w:left="2740" w:hanging="420"/>
      </w:pPr>
      <w:rPr>
        <w:rFonts w:hint="default" w:ascii="Wingdings" w:hAnsi="Wingdings"/>
      </w:rPr>
    </w:lvl>
    <w:lvl w:ilvl="5" w:tentative="0">
      <w:start w:val="1"/>
      <w:numFmt w:val="bullet"/>
      <w:lvlText w:val=""/>
      <w:lvlJc w:val="left"/>
      <w:pPr>
        <w:ind w:left="3160" w:hanging="420"/>
      </w:pPr>
      <w:rPr>
        <w:rFonts w:hint="default" w:ascii="Wingdings" w:hAnsi="Wingdings"/>
      </w:rPr>
    </w:lvl>
    <w:lvl w:ilvl="6" w:tentative="0">
      <w:start w:val="1"/>
      <w:numFmt w:val="bullet"/>
      <w:lvlText w:val=""/>
      <w:lvlJc w:val="left"/>
      <w:pPr>
        <w:ind w:left="3580" w:hanging="420"/>
      </w:pPr>
      <w:rPr>
        <w:rFonts w:hint="default" w:ascii="Wingdings" w:hAnsi="Wingdings"/>
      </w:rPr>
    </w:lvl>
    <w:lvl w:ilvl="7" w:tentative="0">
      <w:start w:val="1"/>
      <w:numFmt w:val="bullet"/>
      <w:lvlText w:val=""/>
      <w:lvlJc w:val="left"/>
      <w:pPr>
        <w:ind w:left="4000" w:hanging="420"/>
      </w:pPr>
      <w:rPr>
        <w:rFonts w:hint="default" w:ascii="Wingdings" w:hAnsi="Wingdings"/>
      </w:rPr>
    </w:lvl>
    <w:lvl w:ilvl="8" w:tentative="0">
      <w:start w:val="1"/>
      <w:numFmt w:val="bullet"/>
      <w:lvlText w:val=""/>
      <w:lvlJc w:val="left"/>
      <w:pPr>
        <w:ind w:left="4420" w:hanging="420"/>
      </w:pPr>
      <w:rPr>
        <w:rFonts w:hint="default" w:ascii="Wingdings" w:hAnsi="Wingdings"/>
      </w:rPr>
    </w:lvl>
  </w:abstractNum>
  <w:abstractNum w:abstractNumId="2">
    <w:nsid w:val="21DA5DBA"/>
    <w:multiLevelType w:val="multilevel"/>
    <w:tmpl w:val="21DA5DBA"/>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455B7DE9"/>
    <w:multiLevelType w:val="multilevel"/>
    <w:tmpl w:val="455B7DE9"/>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2C0"/>
    <w:rsid w:val="003F3814"/>
    <w:rsid w:val="004E027D"/>
    <w:rsid w:val="0058177F"/>
    <w:rsid w:val="007C1C8A"/>
    <w:rsid w:val="008D550E"/>
    <w:rsid w:val="00CD2596"/>
    <w:rsid w:val="00E5026B"/>
    <w:rsid w:val="00F10487"/>
    <w:rsid w:val="00F142C0"/>
    <w:rsid w:val="2B197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Times New Roman" w:hAnsi="Times New Roman" w:eastAsia="仿宋" w:cs="Times New Roman"/>
      <w:kern w:val="2"/>
      <w:sz w:val="21"/>
      <w:szCs w:val="24"/>
      <w:lang w:val="en-US" w:eastAsia="zh-CN" w:bidi="ar-SA"/>
      <w14:ligatures w14:val="none"/>
    </w:rPr>
  </w:style>
  <w:style w:type="paragraph" w:styleId="2">
    <w:name w:val="heading 1"/>
    <w:basedOn w:val="1"/>
    <w:next w:val="1"/>
    <w:link w:val="25"/>
    <w:qFormat/>
    <w:uiPriority w:val="9"/>
    <w:pPr>
      <w:keepNext/>
      <w:keepLines/>
      <w:widowControl/>
      <w:spacing w:before="480" w:line="276" w:lineRule="auto"/>
      <w:jc w:val="center"/>
      <w:outlineLvl w:val="0"/>
    </w:pPr>
    <w:rPr>
      <w:rFonts w:eastAsia="方正黑体_GBK" w:cstheme="majorBidi"/>
      <w:b/>
      <w:bCs/>
      <w:color w:val="000000"/>
      <w:sz w:val="32"/>
      <w:szCs w:val="28"/>
    </w:rPr>
  </w:style>
  <w:style w:type="paragraph" w:styleId="3">
    <w:name w:val="heading 2"/>
    <w:basedOn w:val="1"/>
    <w:next w:val="1"/>
    <w:link w:val="26"/>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7"/>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8"/>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9"/>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30"/>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1"/>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3"/>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3">
    <w:name w:val="Default Paragraph Font"/>
    <w:semiHidden/>
    <w:unhideWhenUsed/>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semiHidden/>
    <w:unhideWhenUsed/>
    <w:uiPriority w:val="99"/>
    <w:pPr>
      <w:ind w:firstLine="420" w:firstLineChars="200"/>
    </w:pPr>
  </w:style>
  <w:style w:type="paragraph" w:styleId="12">
    <w:name w:val="caption"/>
    <w:basedOn w:val="1"/>
    <w:next w:val="1"/>
    <w:unhideWhenUsed/>
    <w:qFormat/>
    <w:uiPriority w:val="35"/>
    <w:pPr>
      <w:jc w:val="center"/>
    </w:pPr>
    <w:rPr>
      <w:rFonts w:ascii="仿宋" w:hAnsi="仿宋" w:cstheme="majorBidi"/>
      <w:sz w:val="24"/>
      <w:szCs w:val="20"/>
    </w:rPr>
  </w:style>
  <w:style w:type="paragraph" w:styleId="13">
    <w:name w:val="Body Text Indent"/>
    <w:basedOn w:val="1"/>
    <w:link w:val="45"/>
    <w:uiPriority w:val="0"/>
    <w:pPr>
      <w:spacing w:after="120"/>
      <w:ind w:left="420"/>
    </w:pPr>
  </w:style>
  <w:style w:type="paragraph" w:styleId="14">
    <w:name w:val="toc 3"/>
    <w:basedOn w:val="1"/>
    <w:next w:val="1"/>
    <w:unhideWhenUsed/>
    <w:uiPriority w:val="39"/>
    <w:pPr>
      <w:ind w:left="840" w:leftChars="400"/>
    </w:pPr>
  </w:style>
  <w:style w:type="paragraph" w:styleId="15">
    <w:name w:val="footer"/>
    <w:basedOn w:val="1"/>
    <w:link w:val="44"/>
    <w:unhideWhenUsed/>
    <w:uiPriority w:val="99"/>
    <w:pPr>
      <w:tabs>
        <w:tab w:val="center" w:pos="4153"/>
        <w:tab w:val="right" w:pos="8306"/>
      </w:tabs>
      <w:snapToGrid w:val="0"/>
    </w:pPr>
    <w:rPr>
      <w:sz w:val="18"/>
      <w:szCs w:val="18"/>
    </w:rPr>
  </w:style>
  <w:style w:type="paragraph" w:styleId="16">
    <w:name w:val="header"/>
    <w:basedOn w:val="1"/>
    <w:link w:val="43"/>
    <w:unhideWhenUsed/>
    <w:qFormat/>
    <w:uiPriority w:val="99"/>
    <w:pPr>
      <w:tabs>
        <w:tab w:val="center" w:pos="4153"/>
        <w:tab w:val="right" w:pos="8306"/>
      </w:tabs>
      <w:snapToGrid w:val="0"/>
      <w:jc w:val="center"/>
    </w:pPr>
    <w:rPr>
      <w:sz w:val="18"/>
      <w:szCs w:val="18"/>
    </w:rPr>
  </w:style>
  <w:style w:type="paragraph" w:styleId="17">
    <w:name w:val="toc 1"/>
    <w:basedOn w:val="1"/>
    <w:next w:val="1"/>
    <w:unhideWhenUsed/>
    <w:uiPriority w:val="39"/>
  </w:style>
  <w:style w:type="paragraph" w:styleId="18">
    <w:name w:val="Subtitle"/>
    <w:basedOn w:val="1"/>
    <w:next w:val="1"/>
    <w:link w:val="35"/>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9">
    <w:name w:val="toc 2"/>
    <w:basedOn w:val="1"/>
    <w:next w:val="1"/>
    <w:unhideWhenUsed/>
    <w:uiPriority w:val="39"/>
    <w:pPr>
      <w:ind w:left="420" w:leftChars="200"/>
    </w:pPr>
  </w:style>
  <w:style w:type="paragraph" w:styleId="20">
    <w:name w:val="Title"/>
    <w:basedOn w:val="1"/>
    <w:next w:val="1"/>
    <w:link w:val="34"/>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2">
    <w:name w:val="Table Grid"/>
    <w:basedOn w:val="21"/>
    <w:uiPriority w:val="59"/>
    <w:pPr>
      <w:spacing w:after="0" w:line="240" w:lineRule="auto"/>
    </w:pPr>
    <w:rPr>
      <w:kern w:val="0"/>
      <w:sz w:val="24"/>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uiPriority w:val="99"/>
    <w:rPr>
      <w:color w:val="467886" w:themeColor="hyperlink"/>
      <w:u w:val="single"/>
      <w14:textFill>
        <w14:solidFill>
          <w14:schemeClr w14:val="hlink"/>
        </w14:solidFill>
      </w14:textFill>
    </w:rPr>
  </w:style>
  <w:style w:type="character" w:customStyle="1" w:styleId="25">
    <w:name w:val="标题 1 字符"/>
    <w:basedOn w:val="23"/>
    <w:link w:val="2"/>
    <w:qFormat/>
    <w:uiPriority w:val="9"/>
    <w:rPr>
      <w:rFonts w:ascii="Times New Roman" w:hAnsi="Times New Roman" w:eastAsia="方正黑体_GBK" w:cstheme="majorBidi"/>
      <w:b/>
      <w:bCs/>
      <w:color w:val="000000"/>
      <w:sz w:val="32"/>
      <w:szCs w:val="28"/>
    </w:rPr>
  </w:style>
  <w:style w:type="character" w:customStyle="1" w:styleId="26">
    <w:name w:val="标题 2 字符"/>
    <w:basedOn w:val="23"/>
    <w:link w:val="3"/>
    <w:qFormat/>
    <w:uiPriority w:val="9"/>
    <w:rPr>
      <w:rFonts w:asciiTheme="majorHAnsi" w:hAnsiTheme="majorHAnsi" w:eastAsiaTheme="majorEastAsia" w:cstheme="majorBidi"/>
      <w:color w:val="104862" w:themeColor="accent1" w:themeShade="BF"/>
      <w:sz w:val="40"/>
      <w:szCs w:val="40"/>
    </w:rPr>
  </w:style>
  <w:style w:type="character" w:customStyle="1" w:styleId="27">
    <w:name w:val="标题 3 字符"/>
    <w:basedOn w:val="23"/>
    <w:link w:val="4"/>
    <w:qFormat/>
    <w:uiPriority w:val="9"/>
    <w:rPr>
      <w:rFonts w:asciiTheme="majorHAnsi" w:hAnsiTheme="majorHAnsi" w:eastAsiaTheme="majorEastAsia" w:cstheme="majorBidi"/>
      <w:color w:val="104862" w:themeColor="accent1" w:themeShade="BF"/>
      <w:sz w:val="32"/>
      <w:szCs w:val="32"/>
    </w:rPr>
  </w:style>
  <w:style w:type="character" w:customStyle="1" w:styleId="28">
    <w:name w:val="标题 4 字符"/>
    <w:basedOn w:val="23"/>
    <w:link w:val="5"/>
    <w:qFormat/>
    <w:uiPriority w:val="9"/>
    <w:rPr>
      <w:rFonts w:cstheme="majorBidi"/>
      <w:color w:val="104862" w:themeColor="accent1" w:themeShade="BF"/>
      <w:sz w:val="28"/>
      <w:szCs w:val="28"/>
    </w:rPr>
  </w:style>
  <w:style w:type="character" w:customStyle="1" w:styleId="29">
    <w:name w:val="标题 5 字符"/>
    <w:basedOn w:val="23"/>
    <w:link w:val="6"/>
    <w:semiHidden/>
    <w:qFormat/>
    <w:uiPriority w:val="9"/>
    <w:rPr>
      <w:rFonts w:cstheme="majorBidi"/>
      <w:color w:val="104862" w:themeColor="accent1" w:themeShade="BF"/>
      <w:sz w:val="24"/>
    </w:rPr>
  </w:style>
  <w:style w:type="character" w:customStyle="1" w:styleId="30">
    <w:name w:val="标题 6 字符"/>
    <w:basedOn w:val="23"/>
    <w:link w:val="7"/>
    <w:semiHidden/>
    <w:uiPriority w:val="9"/>
    <w:rPr>
      <w:rFonts w:cstheme="majorBidi"/>
      <w:b/>
      <w:bCs/>
      <w:color w:val="104862" w:themeColor="accent1" w:themeShade="BF"/>
    </w:rPr>
  </w:style>
  <w:style w:type="character" w:customStyle="1" w:styleId="31">
    <w:name w:val="标题 7 字符"/>
    <w:basedOn w:val="23"/>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2">
    <w:name w:val="标题 8 字符"/>
    <w:basedOn w:val="23"/>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3">
    <w:name w:val="标题 9 字符"/>
    <w:basedOn w:val="23"/>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标题 字符"/>
    <w:basedOn w:val="23"/>
    <w:link w:val="20"/>
    <w:uiPriority w:val="10"/>
    <w:rPr>
      <w:rFonts w:asciiTheme="majorHAnsi" w:hAnsiTheme="majorHAnsi" w:eastAsiaTheme="majorEastAsia" w:cstheme="majorBidi"/>
      <w:spacing w:val="-10"/>
      <w:kern w:val="28"/>
      <w:sz w:val="56"/>
      <w:szCs w:val="56"/>
    </w:rPr>
  </w:style>
  <w:style w:type="character" w:customStyle="1" w:styleId="35">
    <w:name w:val="副标题 字符"/>
    <w:basedOn w:val="23"/>
    <w:link w:val="18"/>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引用 字符"/>
    <w:basedOn w:val="23"/>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
    <w:basedOn w:val="23"/>
    <w:qFormat/>
    <w:uiPriority w:val="21"/>
    <w:rPr>
      <w:i/>
      <w:iCs/>
      <w:color w:val="104862" w:themeColor="accent1" w:themeShade="BF"/>
    </w:rPr>
  </w:style>
  <w:style w:type="paragraph" w:styleId="40">
    <w:name w:val="Intense Quote"/>
    <w:basedOn w:val="1"/>
    <w:next w:val="1"/>
    <w:link w:val="41"/>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1">
    <w:name w:val="明显引用 字符"/>
    <w:basedOn w:val="23"/>
    <w:link w:val="40"/>
    <w:qFormat/>
    <w:uiPriority w:val="30"/>
    <w:rPr>
      <w:i/>
      <w:iCs/>
      <w:color w:val="104862" w:themeColor="accent1" w:themeShade="BF"/>
    </w:rPr>
  </w:style>
  <w:style w:type="character" w:customStyle="1" w:styleId="42">
    <w:name w:val="Intense Reference"/>
    <w:basedOn w:val="23"/>
    <w:qFormat/>
    <w:uiPriority w:val="32"/>
    <w:rPr>
      <w:b/>
      <w:bCs/>
      <w:smallCaps/>
      <w:color w:val="104862" w:themeColor="accent1" w:themeShade="BF"/>
      <w:spacing w:val="5"/>
    </w:rPr>
  </w:style>
  <w:style w:type="character" w:customStyle="1" w:styleId="43">
    <w:name w:val="页眉 字符"/>
    <w:basedOn w:val="23"/>
    <w:link w:val="16"/>
    <w:uiPriority w:val="99"/>
    <w:rPr>
      <w:sz w:val="18"/>
      <w:szCs w:val="18"/>
    </w:rPr>
  </w:style>
  <w:style w:type="character" w:customStyle="1" w:styleId="44">
    <w:name w:val="页脚 字符"/>
    <w:basedOn w:val="23"/>
    <w:link w:val="15"/>
    <w:uiPriority w:val="99"/>
    <w:rPr>
      <w:sz w:val="18"/>
      <w:szCs w:val="18"/>
    </w:rPr>
  </w:style>
  <w:style w:type="character" w:customStyle="1" w:styleId="45">
    <w:name w:val="正文文本缩进 字符"/>
    <w:basedOn w:val="23"/>
    <w:link w:val="13"/>
    <w:qFormat/>
    <w:uiPriority w:val="0"/>
    <w:rPr>
      <w:rFonts w:ascii="Times New Roman" w:hAnsi="Times New Roman" w:eastAsia="仿宋" w:cs="Times New Roman"/>
      <w:sz w:val="21"/>
      <w14:ligatures w14:val="none"/>
    </w:rPr>
  </w:style>
  <w:style w:type="paragraph" w:customStyle="1" w:styleId="46">
    <w:name w:val="TOC 标题1"/>
    <w:basedOn w:val="2"/>
    <w:next w:val="1"/>
    <w:unhideWhenUsed/>
    <w:qFormat/>
    <w:uiPriority w:val="39"/>
    <w:pPr>
      <w:spacing w:before="240" w:line="259" w:lineRule="auto"/>
      <w:jc w:val="left"/>
      <w:outlineLvl w:val="9"/>
    </w:pPr>
    <w:rPr>
      <w:rFonts w:asciiTheme="majorHAnsi" w:hAnsiTheme="majorHAnsi" w:eastAsiaTheme="majorEastAsia"/>
      <w:b w:val="0"/>
      <w:bCs w:val="0"/>
      <w:color w:val="104862" w:themeColor="accent1" w:themeShade="BF"/>
      <w:kern w:val="0"/>
      <w:szCs w:val="32"/>
    </w:rPr>
  </w:style>
  <w:style w:type="paragraph" w:customStyle="1" w:styleId="47">
    <w:name w:val="L-正文"/>
    <w:basedOn w:val="11"/>
    <w:link w:val="48"/>
    <w:qFormat/>
    <w:uiPriority w:val="0"/>
    <w:pPr>
      <w:spacing w:line="360" w:lineRule="auto"/>
      <w:ind w:firstLine="480"/>
    </w:pPr>
    <w:rPr>
      <w:rFonts w:ascii="宋体" w:hAnsi="宋体"/>
      <w:sz w:val="24"/>
      <w:szCs w:val="20"/>
    </w:rPr>
  </w:style>
  <w:style w:type="character" w:customStyle="1" w:styleId="48">
    <w:name w:val="L-正文 Char"/>
    <w:link w:val="47"/>
    <w:qFormat/>
    <w:uiPriority w:val="0"/>
    <w:rPr>
      <w:rFonts w:ascii="宋体" w:hAnsi="宋体" w:eastAsia="仿宋" w:cs="Times New Roman"/>
      <w:sz w:val="24"/>
      <w:szCs w:val="20"/>
      <w14:ligatures w14:val="none"/>
    </w:rPr>
  </w:style>
  <w:style w:type="paragraph" w:customStyle="1" w:styleId="49">
    <w:name w:val="段"/>
    <w:link w:val="50"/>
    <w:qFormat/>
    <w:uiPriority w:val="0"/>
    <w:pPr>
      <w:tabs>
        <w:tab w:val="center" w:pos="4201"/>
        <w:tab w:val="right" w:leader="dot" w:pos="9298"/>
      </w:tabs>
      <w:autoSpaceDE w:val="0"/>
      <w:autoSpaceDN w:val="0"/>
      <w:spacing w:after="0" w:line="240" w:lineRule="auto"/>
      <w:ind w:firstLine="420" w:firstLineChars="200"/>
      <w:jc w:val="both"/>
    </w:pPr>
    <w:rPr>
      <w:rFonts w:ascii="宋体" w:hAnsi="Times New Roman" w:eastAsia="仿宋" w:cs="Times New Roman"/>
      <w:kern w:val="0"/>
      <w:sz w:val="21"/>
      <w:szCs w:val="20"/>
      <w:lang w:val="en-US" w:eastAsia="zh-CN" w:bidi="ar-SA"/>
      <w14:ligatures w14:val="none"/>
    </w:rPr>
  </w:style>
  <w:style w:type="character" w:customStyle="1" w:styleId="50">
    <w:name w:val="段 Char"/>
    <w:link w:val="49"/>
    <w:qFormat/>
    <w:uiPriority w:val="0"/>
    <w:rPr>
      <w:rFonts w:ascii="宋体" w:hAnsi="Times New Roman" w:eastAsia="仿宋" w:cs="Times New Roman"/>
      <w:kern w:val="0"/>
      <w:sz w:val="21"/>
      <w:szCs w:val="20"/>
      <w14:ligatures w14:val="none"/>
    </w:rPr>
  </w:style>
  <w:style w:type="paragraph" w:customStyle="1" w:styleId="51">
    <w:name w:val="表格正文居中"/>
    <w:basedOn w:val="1"/>
    <w:link w:val="52"/>
    <w:qFormat/>
    <w:uiPriority w:val="0"/>
    <w:pPr>
      <w:widowControl/>
      <w:spacing w:line="360" w:lineRule="auto"/>
      <w:jc w:val="center"/>
    </w:pPr>
    <w:rPr>
      <w:rFonts w:ascii="仿宋_GB2312" w:hAnsi="仿宋_GB2312" w:eastAsia="仿宋_GB2312" w:cs="仿宋_GB2312"/>
      <w:color w:val="000000" w:themeColor="text1"/>
      <w:kern w:val="0"/>
      <w:sz w:val="28"/>
      <w14:textFill>
        <w14:solidFill>
          <w14:schemeClr w14:val="tx1"/>
        </w14:solidFill>
      </w14:textFill>
    </w:rPr>
  </w:style>
  <w:style w:type="character" w:customStyle="1" w:styleId="52">
    <w:name w:val="表格正文居中 字符"/>
    <w:basedOn w:val="23"/>
    <w:link w:val="51"/>
    <w:uiPriority w:val="0"/>
    <w:rPr>
      <w:rFonts w:ascii="仿宋_GB2312" w:hAnsi="仿宋_GB2312" w:eastAsia="仿宋_GB2312" w:cs="仿宋_GB2312"/>
      <w:color w:val="000000" w:themeColor="text1"/>
      <w:kern w:val="0"/>
      <w:sz w:val="28"/>
      <w14:textFill>
        <w14:solidFill>
          <w14:schemeClr w14:val="tx1"/>
        </w14:solidFill>
      </w14:textFill>
      <w14:ligatures w14: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4040</Words>
  <Characters>4293</Characters>
  <Lines>59</Lines>
  <Paragraphs>16</Paragraphs>
  <TotalTime>0</TotalTime>
  <ScaleCrop>false</ScaleCrop>
  <LinksUpToDate>false</LinksUpToDate>
  <CharactersWithSpaces>4466</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2025-03-05T04:19:00Z</dcterms:created>
  <dc:creator>涤非 宋</dc:creator>
  <cp:lastModifiedBy>18088</cp:lastModifiedBy>
  <dcterms:modified xsi:type="dcterms:W3CDTF">2025-03-22T21:42:48Z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eyJoZGlkIjoiNGMxNzgwMjNlNjYwMmZkMTI1MTljNzg1ZTU4YTU5OTQifQ==</vt:lpwstr>
  </property>
  <property fmtid="{D5CDD505-2E9C-101B-9397-08002B2CF9AE}" pid="3" name="KSOProductBuildVer">
    <vt:lpwstr>2052-12.1.0.20305</vt:lpwstr>
  </property>
  <property fmtid="{D5CDD505-2E9C-101B-9397-08002B2CF9AE}" pid="4" name="ICV">
    <vt:lpwstr>391B55E63D1F4A609FD316FC88DE58A8_12</vt:lpwstr>
  </property>
</Properties>
</file>