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Noto Sans CJK SC" w:hAnsi="Noto Sans CJK SC" w:eastAsia="Noto Sans CJK SC" w:cs="Noto Sans CJK SC"/>
          <w:b/>
          <w:color w:val="111827"/>
          <w:sz w:val="40"/>
        </w:rPr>
        <w:t>跨领域大颗粒技术规划的机制和方法研究报告（AI4Research增强版）</w:t>
      </w:r>
    </w:p>
    <w:p>
      <w:pPr>
        <w:spacing w:after="100" w:line="300" w:lineRule="auto"/>
        <w:jc w:val="center"/>
      </w:pPr>
      <w:r>
        <w:rPr>
          <w:rFonts w:ascii="Noto Sans CJK SC" w:hAnsi="Noto Sans CJK SC" w:eastAsia="Noto Sans CJK SC" w:cs="Noto Sans CJK SC"/>
          <w:b w:val="0"/>
          <w:i/>
          <w:color w:val="4B5563"/>
          <w:sz w:val="19"/>
        </w:rPr>
        <w:t>基于《跨领域大颗粒技术规划的机制和方法研究报告》主稿，整合《AI时代跨领域大颗粒技术创新路径》与《AI时代技术创新与技术规划中的AI4Research闭环实践报告》形成的新版报告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版本定位：新版报告保留原主稿的‘蓝区 + 专家军团 + AI4Research’三大能力底座，重点补强创新经济学解释、全球AI4Research闭环案例、从假设到Demo到验证的工作流、Solar-Harness平台架构、治理机制、标准产物和阶段化落地路线。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摘要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过去公司基于IPD流程和专项实践，已经存在若干跨领域大颗粒技术规划探索，例如未来软件工程、软件NEXT、Jiuwen Swarm、AlphaSE、AI时代研发工程项目群等。这说明组织内部并不缺少高价值方向，也不缺少专家洞察。当前核心短板不在于‘有没有好想法’，而在于是否存在一套机制，能够让好想法快速形成证据、进入重大课题循环，并最终转化为业务价值和平台资产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AI时代的大颗粒创新正在从‘灵感竞争’转向‘验证速度竞争’。生成式AI显著降低了信息获取、方案生成和原型构建成本，但也制造了更多未经验证的候选方向。真正稀缺的不再只是创意，而是把创意拆成可验证假设、找到外部论文和开源路径、完成代码复现、构造Benchmark、形成Demo、通过专家与质量门禁审查、再进入重大课题的能力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因此，本报告建议将跨领域大颗粒技术规划从传统的‘汇报型、研讨型、专家经验型规划’，升级为‘战略主战场牵引、专家军团作战、蓝区先进生产力入口、AI4Research证据引擎、Demo/Benchmark验证闭环、共同绩效和专项基金保障、Solar-Harness统一执行底座、RSI持续改进’的新型创新机制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战略上：用公司级主战场和未来2-5年竞争力问题牵引方向，而不是从单个部门兴趣出发。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组织上：用专家军团、联邦式CoE、领域Pod和HR专家画像机制，把稀缺专家时间配置到最高价值判断点。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平台上：用AI4Research把技术洞察、论文复现、代码验证、Benchmark构建、Demo孵化、Topic Pack生成和资产沉淀串成闭环。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治理上：坚持‘快试错，不快上线’，把证据、评估、日志、权限、成本、开源许可、质量门禁和Go/Kill/Pivot机制前置到创新流程中。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经济上：把大额、慢验证、难退出的创新投入，拆成低成本、多路径、可阶段加注的创新期权组合。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FF6FF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1E40AF"/>
                <w:sz w:val="21"/>
              </w:rPr>
              <w:t>一句话结论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跨领域大颗粒技术规划的关键，不是多写几份规划报告，而是建设一套低摩擦、快证据、可治理、可沉淀的组织级创新操作系统。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0. 本次整合说明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本次新版报告以《跨领域大颗粒技术规划的机制和方法研究报告》为主稿，保留其基本问题意识、访谈复盘、三大先进能力、六步法、关键机制、标准工作件和指标体系。针对主稿中若干待补强部分，系统吸收另外两篇文章的内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来源文章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主要可吸收内容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在新版中的落点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跨领域大颗粒技术规划的机制和方法研究报告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原始骨架：内涵、访谈案例、蓝区、专家军团、AI4Research、六步法、机制设计、工作件、指标体系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作为新版报告主体结构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AI时代跨领域大颗粒技术创新路径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创新从灵感竞争转向验证速度竞争；经济学解释；美国AI for Science实践；蓝区/专家军团/AI4Research/Solar-Harness/RSI；AI Brainstorm；Benchmark与Demo；路线图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补强问题本质、外部扫描、平台架构、组织机制、路线图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AI时代技术创新与技术规划中的AI4Research闭环实践报告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AI4Research能力边界；NIST/AWS/Google/Microsoft治理模型；假设→Demo→验证闭环；全球案例；工具栈；最佳实践与风险；试点选择原则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补强AI4Research定义、闭环工作流、治理体系、全球案例和实施原则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整合原则是：不把另外两篇文章作为长篇附录机械拼接，而是把其中适合主稿逻辑的内容转化为主报告中的机制、方法、案例、产物和落地路径。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1. 跨领域大颗粒技术规划的内涵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本报告所说的‘跨领域大颗粒技术规划’，不是普通项目规划，也不是单点技术预研，而是面向公司未来2-5年竞争力、跨越多个技术域和业务域的系统性技术布局。它通常指向平台、体系、架构、能力群或战略技术方向，而不是单个功能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特征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含义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管理启示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跨领域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涉及多个技术域、业务域或组织层级，例如软件工程、AI Agent、编译器、终端智能、云、芯片、具身智能等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必须有跨部门组织与共同语言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大颗粒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不是单功能，而是平台、架构、能力群或长期战略方向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不能用普通项目计划替代系统规划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高不确定性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技术路线、商业价值、组织归属和资源投入初期都不清晰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必须用小实验和阶段门降低决策风险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高杠杆价值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一旦突破，可形成平台能力、业务差异化或公司级竞争优势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需要进入重大课题和平台资产循环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机制依赖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不能只靠个人热情或临时合作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需要战略牵引、组织协同、资源投入、证据闭环和绩效绑定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因此，大颗粒技术规划的关键不是‘写出一份规划报告’，而是让组织持续完成：看得准 → 聚得拢 → 试得快 → 穿得透 → 进得去 → 落得下。</w:t>
      </w:r>
    </w:p>
    <w:p>
      <w:r>
        <w:rPr>
          <w:rFonts w:ascii="Noto Sans CJK SC" w:hAnsi="Noto Sans CJK SC" w:eastAsia="Noto Sans CJK SC" w:cs="Noto Sans CJK SC"/>
          <w:sz w:val="21"/>
        </w:rPr>
        <w:t>看得准：看清趋势、问题、拐点和窗口期</w:t>
        <w:br/>
        <w:t>聚得拢：聚合业务、专家、平台、质量和资源</w:t>
        <w:br/>
        <w:t>试得快：用蓝区和AI4Research快速形成Demo/PoC/Benchmark</w:t>
        <w:br/>
        <w:t>穿得透：围绕关键瓶颈做证据穿刺，而不是泛泛研究</w:t>
        <w:br/>
        <w:t>进得去：形成Topic Pack进入重大课题、联合立项和总部通道</w:t>
        <w:br/>
        <w:t>落得下：转化为业务价值、平台能力和组织资产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2. 当前实践复盘：已有点状探索，但缺少系统闭环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2.1 成功实践的共同要素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从已有实践看，AlphaSE等项目能够推进，并不是因为单纯汇报做得好，而是形成了较完整的证据与组织闭环：面向AI Coding快速发展提出可信软件工程问题；在准蓝区环境中测试外部模型与工具；由对软件工程全维度有深度认知的专家团队提出创新课题；通过Demo和体验让领导感知问题和方向；再通过高层支持拉通跨团队协同并进入正式立项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这些成功经验说明，跨领域大颗粒规划成功的本质，是认知、业务、组织、资源、平台和绩效形成正向乘法。只要其中任何关键要素为零，整体就容易失败。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成功要素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表现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机制化要求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认知到位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有人能够系统理解前沿技术、工程约束和业务价值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设置Chief Integrator/技术总架构师角色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业务对齐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围绕国内业务主战场或明确业务瓶颈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问题先于项目，先定义业务价值和成功指标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领导支持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高层共识对跨层级协同至关重要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形成季度组合评审和重大课题入口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能力支撑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专家、蓝区、工具、平台、数据和实验环境可用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建设AI4Research与Solar-Harness底座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资源闭环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有费用、组织任命、工作组或专项基金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用阶段门基金支持4-8周验证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结果共享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洞察、Demo、Benchmark和专家进展可沉淀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建立资产库、证据包和可复用工作流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2.2 失败或错失机会的共同原因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MStar等实践的复盘提醒我们，方向本身可能具有前瞻价值，但如果没有足够算力资源、快速验证平台、专家组织和总部衔接机制，就很难把洞察转化为重大课题。问题不只是‘项目失败’，而是技术主张没有形成足够完整的证据链，导致组织难以在关键窗口期做出投入决策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前瞻探索性课题自有资源不足，验证速度受限。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TETF等孵化机制未能持续发挥作用，中间中断后证据链断裂。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开源验证、内部模型/数据验证与总部会战之间缺乏标准化衔接。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没有统一平台沉淀复现实验、失败原因、路线对比和专家裁决。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缺少把‘外部趋势’转成‘内部可验证技术假设’的机制。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因此，本报告将当前主要问题归纳为四类：打破惯性并做出创新决策的成本过高；AI时代传统年度规划和线性IPD节奏不适配；经验和教训缺少平台化沉淀，导致重复探索；先进生产力入口不足，无法快速吸收外部模型、开源、论文代码和Agent工具链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3. 问题本质：不是方法问题，而是机制与经济性问题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3.1 四组结构性张力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张力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表现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解决方向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公司级价值 vs 部门级绩效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大颗粒方向服务中长期竞争力，但资源掌握在部门手中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共同目标、共同署名、共同评价、共同基金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大颗粒战略 vs 小颗粒敏捷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战略需要系统性，但AI时代要求小步快跑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小颗粒赛马，大颗粒聚合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洞察结论 vs 工程证据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观点和趋势容易过时，难以支撑决策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Demo、PoC、Benchmark、复现实验、成本数据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外部快速变化 vs 内部流程节奏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外部技术按周/月迭代，内部流程按季度/年度运行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蓝区、专家军团、AI4Research和快速试错通道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3.2 创新经济学视角：为什么验证成本和速度成为瓶颈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在AI时代，方案生成和灵感获取的成本正在下降。模型可以快速产生大量路线，论文和开源生态也能提供大量候选路径。组织真正缺的不是候选方向，而是低成本筛选候选方向的能力。一个想法只有经过复现、对比、评测、Demo和业务场景验证，才会从‘可能性’变成‘可投资对象’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从经济学上看，跨领域创新面临不确定性、信息不对称、机会成本、沉没成本、交易成本和实物期权成本。传统创新模式往往要求业务负责人在证据不足时做较大承诺，一旦启动又难以及时退出。因此业务当家人的谨慎不是观念保守，而是成本结构不友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成本/摩擦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传统模式中的表现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AI4Research的作用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搜索成本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找论文、找代码、找工具、找专家靠个人经验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技术雷达、研究Agent、知识图谱、蓝区资源目录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匹配成本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问题、专家、数据、工具和业务场景难以快速对齐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专家画像、Problem Card、Hypothesis Card和任务制专家军团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验证成本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复现、环境、数据、评测和Demo每次从零开始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Experiment Harness、Benchmark Harness、Demo Harness和资产库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解释成本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管理层只能听观点，难以判断风险与收益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证据包、Topic Pack、Demo、Benchmark和专家裁决记录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退出成本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项目启动后停止被视为失败，沉没成本上升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Go/Kill/Pivot机制、Failure Card和负结果库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复用成本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经验散落在人脑、聊天记录和临时文档中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Knowledge Card、Workflow、Skill、Benchmark和RSI回流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FF6FF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1E40AF"/>
                <w:sz w:val="21"/>
              </w:rPr>
              <w:t>经济学结论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AI4Research的核心价值，是把跨领域创新从一次高成本、慢验证、难退出的大额押注，改造成一组低成本、多路线、可阶段加注、可及时停止、可沉淀资产的创新期权组合。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3.3 静态摩擦与动态摩擦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跨领域创新的摩擦可以分为两类：启动前的静态摩擦，以及启动后的动态摩擦。静态摩擦决定方向能否快速启动，动态摩擦决定启动后能否及时获得证据、转向和沉淀。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类型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典型问题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机制解法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静态摩擦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搜索外部资料、匹配专家、判断工具风险、找到可用数据和实验环境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蓝区网络、技术雷达、专家技能图谱、Problem Backlog、工具准入分级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动态摩擦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反馈延迟、路径依赖、评价分歧、资源争用、知识不沉淀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Experiment/Benchmark/Demo Harness、Go/Kill/Pivot、资产库、质量门禁、RSI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只有同时降低静态摩擦和动态摩擦，组织创新活力才会真正释放。单纯增加工具采购，只能降低局部摩擦；只有把工具、流程、平台、专家、质量和绩效绑定起来，才能形成系统机制。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4. 外部创新扫描：AI正在进入科研和工程主流程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从美国先进研究机构和全球AI4Research案例看，领先组织不是把AI当作办公助手，而是把AI嵌入科研与工程主流程：问题定义、证据扫描、假设生成、实验设计、仿真计算、代码执行、设备调用、评估验证、结果复核和知识沉淀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4.1 美国先进机构的共同趋势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机构/实践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做法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对本报告的启示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DOE / ORNL Genesis Mission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把国家实验室算力、科学数据和AI能力整合为科学发现系统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AI4Research应作为科研/技术规划基础设施，而不是单点工具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ORNL Lux / Discovery、Argonne Aurora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围绕AI、HPC、数据和仿真建设面向多领域科研的计算平台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跨领域创新需要同一底座承载多学科任务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Berkeley Lab A-Lab / AutoBot / FORUM-AI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把AI候选生成、自动化实验和反馈优化连接成闭环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竞争焦点从生成候选转向缩短验证循环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FutureHouse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用Crow/Owl/Falcon/Phoenix/Finch等专业化Agent覆盖研究步骤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AI4Research应采用专业化Agent协作，而非一个通用Agent包办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Broad Institute / Arc Virtual Cell Challenge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利用大规模数据、开放Benchmark和社区评估推动生命科学AI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Benchmark是跨领域创新的共同语言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ARPA-H IGoR / NASA数据与计算战略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强调AI赋能、互操作、可复核、可信的研究生态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速度必须与可信、复现、审计和治理同步设计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NSF AI Research Institutes / DARPA AI Forward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用跨机构网络、工作坊和可信AI机制组织前沿研究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开放生态吸收与专家作战机制同等重要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4.2 全球闭环案例的可迁移经验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案例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闭环结构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结果/信号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可迁移经验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GNoME + A-Lab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候选材料生成 → 合成路线选择 → 自动化实验 → 表征判断 → 人工复核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大规模候选与自动化实验显著提高材料探索吞吐，但也需要后续更正和复核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不要只看headline吞吐，要同时管理复核率、可重复率和结果修正率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Rentosertib / Insilico Medicine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靶点发现 → 分子生成 → 体内外验证 → 临床阶段信号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AI把靶点、分子和转化验证放入同一治理链条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护城河不在单点生成模型，而在跨阶段一致的目标函数和验证纪律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Coscientist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LLM + Web/文档/代码 + Lab API + 受控执行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从自然语言任务走向真实实验执行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企业首先要建设machine-facing interface：SOP、API、数据、权限和安全策略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AlphaChip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设计问题重写 → RL搜索 → PPA评估 → 物理设计flow → 签核验证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把月级floorplanning压缩到小时级的工程探索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AI进入工程规划后，必须同时管理baseline公平性、文档完整性和可复现性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GitHub Copilot / Agentic Coding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Issue → Coding Agent实现 → 测试/PR/Review → 真实生产率验证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实验和field studies显示任务吞吐改善，但真实收益小于实验室任务且分布不均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软件研发是最快可落地的AI4Research入口，但必须用instrumentation验证收益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这些案例共同说明：真正可迁移的不是某个模型或工具，而是‘证据矩阵、执行表面、评估门禁、真实验证、知识回写’这一套闭环结构。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5. 总体机制设计：从方向讨论到证据驱动的重大课题漏斗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建议将跨领域大颗粒技术规划的目标定义为：围绕公司战略主战场和AI时代关键技术机会，建立一套跨领域、跨组织、跨周期的规划与创新机制，实现从趋势洞察到方向收敛、从方向收敛到Demo穿刺、从Demo穿刺到重大课题、从重大课题到业务落地和平台沉淀的闭环。</w:t>
      </w:r>
    </w:p>
    <w:p>
      <w:r>
        <w:rPr>
          <w:rFonts w:ascii="Noto Sans CJK SC" w:hAnsi="Noto Sans CJK SC" w:eastAsia="Noto Sans CJK SC" w:cs="Noto Sans CJK SC"/>
          <w:sz w:val="21"/>
        </w:rPr>
        <w:t>战略主战场/业务瓶颈</w:t>
        <w:br/>
        <w:t xml:space="preserve">  ↓</w:t>
        <w:br/>
        <w:t>Problem Backlog（问题池）</w:t>
        <w:br/>
        <w:t xml:space="preserve">  ↓</w:t>
        <w:br/>
        <w:t>AI4Research：证据建图 + 假设组合 + 路线树</w:t>
        <w:br/>
        <w:t xml:space="preserve">  ↓</w:t>
        <w:br/>
        <w:t>专家军团 AI Brainstorm：反例攻击 + 路线裁决</w:t>
        <w:br/>
        <w:t xml:space="preserve">  ↓</w:t>
        <w:br/>
        <w:t>蓝区 / Solar-Harness：论文复现 + 代码验证 + Demo/PoC</w:t>
        <w:br/>
        <w:t xml:space="preserve">  ↓</w:t>
        <w:br/>
        <w:t>Benchmark / Eval / 质量门禁</w:t>
        <w:br/>
        <w:t xml:space="preserve">  ↓</w:t>
        <w:br/>
        <w:t>Go / Kill / Pivot 决策</w:t>
        <w:br/>
        <w:t xml:space="preserve">  ↓</w:t>
        <w:br/>
        <w:t>Topic Pack：重大课题输入包</w:t>
        <w:br/>
        <w:t xml:space="preserve">  ↓</w:t>
        <w:br/>
        <w:t>联合立项 / 重大课题 / 平台建设 / 业务试点</w:t>
        <w:br/>
        <w:t xml:space="preserve">  ↓</w:t>
        <w:br/>
        <w:t>资产库 + RSI：知识、Workflow、Benchmark、Failure Card回流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5.1 六条运行原则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1. </w:t>
      </w:r>
      <w:r>
        <w:rPr>
          <w:rFonts w:ascii="Noto Sans CJK SC" w:hAnsi="Noto Sans CJK SC" w:eastAsia="Noto Sans CJK SC" w:cs="Noto Sans CJK SC"/>
          <w:sz w:val="20"/>
        </w:rPr>
        <w:t>问题先于项目：先定义公司级瓶颈、业务主战场、成功标准和失败代价，再定义项目。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2. </w:t>
      </w:r>
      <w:r>
        <w:rPr>
          <w:rFonts w:ascii="Noto Sans CJK SC" w:hAnsi="Noto Sans CJK SC" w:eastAsia="Noto Sans CJK SC" w:cs="Noto Sans CJK SC"/>
          <w:sz w:val="20"/>
        </w:rPr>
        <w:t>证据先于承诺：重大课题输入必须带复现结果、Benchmark数据、Demo、成本估算和风险清单。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3. </w:t>
      </w:r>
      <w:r>
        <w:rPr>
          <w:rFonts w:ascii="Noto Sans CJK SC" w:hAnsi="Noto Sans CJK SC" w:eastAsia="Noto Sans CJK SC" w:cs="Noto Sans CJK SC"/>
          <w:sz w:val="20"/>
        </w:rPr>
        <w:t>小额期权先于大额下注：先用4-8周小实验购买验证权，再根据证据分阶段加注。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4. </w:t>
      </w:r>
      <w:r>
        <w:rPr>
          <w:rFonts w:ascii="Noto Sans CJK SC" w:hAnsi="Noto Sans CJK SC" w:eastAsia="Noto Sans CJK SC" w:cs="Noto Sans CJK SC"/>
          <w:sz w:val="20"/>
        </w:rPr>
        <w:t>快试错，不快上线：蓝区适合快速探索和复现，但进入生产或内部核心系统前必须经过质量、合规、许可证和架构审查。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5. </w:t>
      </w:r>
      <w:r>
        <w:rPr>
          <w:rFonts w:ascii="Noto Sans CJK SC" w:hAnsi="Noto Sans CJK SC" w:eastAsia="Noto Sans CJK SC" w:cs="Noto Sans CJK SC"/>
          <w:sz w:val="20"/>
        </w:rPr>
        <w:t>失败资产化：失败不是问题，无法从失败中沉淀证据才是问题。每次停止路线都要形成Failure Card。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6. </w:t>
      </w:r>
      <w:r>
        <w:rPr>
          <w:rFonts w:ascii="Noto Sans CJK SC" w:hAnsi="Noto Sans CJK SC" w:eastAsia="Noto Sans CJK SC" w:cs="Noto Sans CJK SC"/>
          <w:sz w:val="20"/>
        </w:rPr>
        <w:t>治理嵌入流程：权限、审计、成本、数据边界、开源许可、模型风险和专家裁决要成为平台默认机制，而不是后置审批。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6. 打造三大先进能力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6.1 先进开发工具：蓝区网络是外部知识吸收机制，不只是工具采购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蓝区应定位为面向开放网络、开放生态和AI先进生产力的合规创新空间，是跨领域技术规划和创新孵化的受控试验场。其核心使命是让规划团队、专家团队和创新团队在合规、安全、可审计的前提下，快速使用全球先进AI工具、开源代码、论文资源、模型API、Agent框架和自动化研发环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蓝区能力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内容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关键产物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外部知识接入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论文、专利、GitHub、Hugging Face、会议资料、标准组织、产业报告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技术雷达、机会地图、外部资源卡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AI工具与模型接入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主流大模型、代码模型、推理模型、Deep Research、Agent框架、自动化测试工具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模型卡、工具卡、能力矩阵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代码复现与实验沙箱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代码拉取、依赖安装、数据准备、环境构建、Benchmark复现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复现报告、Experiment Card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安全合规与审计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数据分级、脱敏、访问控制、操作审计、License扫描、代码安全扫描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风险清单、审计日志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成果沉淀与迁移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将蓝区成果转为内部可复用技术资产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Demo、Benchmark、Workflow、Skill、迁移建议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跨域协作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跨部门专家共享同一项目空间、技术地图、代码仓和实验结果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协作看板、Topic Pack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蓝区资源建议采用分级治理：L0观察、L1沙箱、L2试点、L3推荐、L4标准、LX禁用。质量运营部应参与蓝区设计，而不是只在末端审查。其职责包括工具准入标准、模型能力评估、开源许可扫描、Benchmark审核、复现质量标准和运营看板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6.2 先进研发流程：专家军团从专家库变成任务制作战组织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跨领域大颗粒规划不能只靠普通项目组，也不能只靠单个规划人员。它需要一种新的组织形态：专家军团。专家军团不是传统委员会，也不是松散专家库，而是围绕战略技术问题快速聚合跨领域专家、业务代表、平台工程师、质量代表、博士/Intern和PM的任务制作战单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角色</w:t>
            </w:r>
          </w:p>
        </w:tc>
        <w:tc>
          <w:tcPr>
            <w:tcW w:type="dxa" w:w="5285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职责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战略Sponsor</w:t>
            </w:r>
          </w:p>
        </w:tc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负责方向牵引、资源背书、跨层级协调和重大课题入口</w:t>
            </w:r>
          </w:p>
        </w:tc>
      </w:tr>
      <w:tr>
        <w:tc>
          <w:tcPr>
            <w:tcW w:type="dxa" w:w="5285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技术总架构师 / Chief Integrator</w:t>
            </w:r>
          </w:p>
        </w:tc>
        <w:tc>
          <w:tcPr>
            <w:tcW w:type="dxa" w:w="5285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对技术全貌有系统认知，负责跨领域架构整合和路线裁决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领域专家</w:t>
            </w:r>
          </w:p>
        </w:tc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提供各技术域深度判断、反例识别和风险判断</w:t>
            </w:r>
          </w:p>
        </w:tc>
      </w:tr>
      <w:tr>
        <w:tc>
          <w:tcPr>
            <w:tcW w:type="dxa" w:w="5285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业务代表</w:t>
            </w:r>
          </w:p>
        </w:tc>
        <w:tc>
          <w:tcPr>
            <w:tcW w:type="dxa" w:w="5285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明确主战场需求、业务痛点、落地场景和价值评估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AI4Research平台工程师</w:t>
            </w:r>
          </w:p>
        </w:tc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负责自动化洞察、代码复现、Benchmark、知识图谱和工具链</w:t>
            </w:r>
          </w:p>
        </w:tc>
      </w:tr>
      <w:tr>
        <w:tc>
          <w:tcPr>
            <w:tcW w:type="dxa" w:w="5285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质量/安全/RAI代表</w:t>
            </w:r>
          </w:p>
        </w:tc>
        <w:tc>
          <w:tcPr>
            <w:tcW w:type="dxa" w:w="5285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定义可信标准、数据边界、风险门禁和复现质量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博士 / Intern / Research Resident</w:t>
            </w:r>
          </w:p>
        </w:tc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承担高强度文献跟踪、代码实验、Benchmark构建和Demo脚手架</w:t>
            </w:r>
          </w:p>
        </w:tc>
      </w:tr>
      <w:tr>
        <w:tc>
          <w:tcPr>
            <w:tcW w:type="dxa" w:w="5285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独立Reviewer</w:t>
            </w:r>
          </w:p>
        </w:tc>
        <w:tc>
          <w:tcPr>
            <w:tcW w:type="dxa" w:w="5285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负责质疑假设、评估证据、识别风险，避免方向自嗨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HR/人才机制接口</w:t>
            </w:r>
          </w:p>
        </w:tc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维护专家画像、任务调度、贡献记录和青年人才机制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专家军团应采用任务制：两小时路线评审、一日AI Brainstorm工作坊、一周复现指导、两到四周Demo冲刺、一个季度重大课题攻坚。这样既不破坏专家主岗职责，又能把稀缺专家时间配置到问题重构、路线取舍、反例识别、Benchmark口径和Go/Kill/Pivot等关键判断点。</w:t>
      </w:r>
    </w:p>
    <w:p>
      <w:pPr>
        <w:pStyle w:val="Heading3"/>
        <w:spacing w:before="120" w:after="40"/>
      </w:pPr>
      <w:r>
        <w:rPr>
          <w:rFonts w:ascii="Noto Sans CJK SC" w:hAnsi="Noto Sans CJK SC" w:eastAsia="Noto Sans CJK SC" w:cs="Noto Sans CJK SC"/>
          <w:b/>
          <w:color w:val="374151"/>
          <w:sz w:val="23"/>
        </w:rPr>
        <w:t>AI Brainstorm五步法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1. </w:t>
      </w:r>
      <w:r>
        <w:rPr>
          <w:rFonts w:ascii="Noto Sans CJK SC" w:hAnsi="Noto Sans CJK SC" w:eastAsia="Noto Sans CJK SC" w:cs="Noto Sans CJK SC"/>
          <w:sz w:val="20"/>
        </w:rPr>
        <w:t>问题重构：把业务问题拆成技术问题、科学问题、工程问题和Benchmark问题。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2. </w:t>
      </w:r>
      <w:r>
        <w:rPr>
          <w:rFonts w:ascii="Noto Sans CJK SC" w:hAnsi="Noto Sans CJK SC" w:eastAsia="Noto Sans CJK SC" w:cs="Noto Sans CJK SC"/>
          <w:sz w:val="20"/>
        </w:rPr>
        <w:t>多路径生成：由AI和专家基于外部资料、内部知识和类似案例生成多条候选路线。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3. </w:t>
      </w:r>
      <w:r>
        <w:rPr>
          <w:rFonts w:ascii="Noto Sans CJK SC" w:hAnsi="Noto Sans CJK SC" w:eastAsia="Noto Sans CJK SC" w:cs="Noto Sans CJK SC"/>
          <w:sz w:val="20"/>
        </w:rPr>
        <w:t>反例和虚拟同行评审：Review Agent和专家主动寻找失败边界、场景不匹配、指标陷阱和成本风险。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4. </w:t>
      </w:r>
      <w:r>
        <w:rPr>
          <w:rFonts w:ascii="Noto Sans CJK SC" w:hAnsi="Noto Sans CJK SC" w:eastAsia="Noto Sans CJK SC" w:cs="Noto Sans CJK SC"/>
          <w:sz w:val="20"/>
        </w:rPr>
        <w:t>实验任务化：把入选路线转成最小可验证实验，明确数据、baseline、成功阈值、成本和负责人。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5. </w:t>
      </w:r>
      <w:r>
        <w:rPr>
          <w:rFonts w:ascii="Noto Sans CJK SC" w:hAnsi="Noto Sans CJK SC" w:eastAsia="Noto Sans CJK SC" w:cs="Noto Sans CJK SC"/>
          <w:sz w:val="20"/>
        </w:rPr>
        <w:t>决策记录：形成Route Decision Record，记录选择、停止或转向的依据、争议、专家意见和下一步动作。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6.3 先进创新平台：AI4Research要成为技术规划的证据引擎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AI4Research不应被理解为会搜索论文的聊天机器人，而应被理解为一组可直接嵌入技术创新流程的能力栈。只有当AI输出能够被追溯、被执行、被评估，并影响真实研发决策时，它才进入AI4Research管理范畴。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能力域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典型任务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何时算入AI4Research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不足以算入的情形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证据发现与综合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论文检索、筛选、数据抽取、引用图谱、证据对齐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输出带来源，并支持假设评审或实验方案选择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只有摘要式回答，无可核验来源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假设生成与反驳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研究问题细化、假设枚举、对立解释、多代理debate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假设与证据、目标函数和约束条件绑定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只给灵感点子，不能进入评审/实验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原型与Demo生成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代码、模型、实验脚本、EDA布局、实验SOP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形成可运行Demo或可执行实验配方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只能写说明文档，不能执行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执行与自动化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运行仿真、调用工具、控制仪器、调度cloud lab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能调用真实执行环境并留下日志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只有建议步骤，无执行接口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评估与可观测性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质量、安全、风险、离线/在线评估、trace和monitoring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结果能被系统化比较、追踪和反证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仅靠人工感觉判断Demo好坏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知识沉淀与决策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实验日志、影响评估、项目注册、知识库回写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结果进入投资、路线图或复用机制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结果散落在聊天记录和个人目录中</w:t>
            </w:r>
          </w:p>
        </w:tc>
      </w:tr>
    </w:tbl>
    <w:p>
      <w:pPr>
        <w:spacing w:after="40"/>
      </w:pPr>
    </w:p>
    <w:p>
      <w:pPr>
        <w:pStyle w:val="Heading3"/>
        <w:spacing w:before="120" w:after="40"/>
      </w:pPr>
      <w:r>
        <w:rPr>
          <w:rFonts w:ascii="Noto Sans CJK SC" w:hAnsi="Noto Sans CJK SC" w:eastAsia="Noto Sans CJK SC" w:cs="Noto Sans CJK SC"/>
          <w:b/>
          <w:color w:val="374151"/>
          <w:sz w:val="23"/>
        </w:rPr>
        <w:t>AI4Research核心模块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模块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功能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主要输出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技术雷达与信号采集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持续跟踪论文、开源、专利、产业会议、竞品、客户需求和内部项目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技术热点、趋势变化、关键论文、开源项目、战略机会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跨领域技术知识图谱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建立技术、产品、业务、专家、项目、论文、代码、Benchmark之间的关联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技术地图、重复建设风险、专家连接建议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论文解析与Claim提取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提取问题、路线、创新点、实验设置、数据集、Benchmark、代码和局限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论文卡、Claim卡、复现任务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代码复现与环境构建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拉取代码、识别依赖、构建环境、运行Benchmark、记录差异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复现报告、失败原因、可运行环境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Demo/PoC生成流水线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生成原型代码、测试用例、演示脚本、对比实验和评审材料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Demo Pack、PoC代码、演示链接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Benchmark构建与实验验证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定义任务集、数据、baseline、指标、反例集和评分脚本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Benchmark Pack、评测结果、排行榜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规划决策驾驶舱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展示方向热度、内部项目、资源、Demo进展、Benchmark结果和候选课题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管理看板、季度组合评审材料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资产沉淀与复用库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沉淀技术卡、方向卡、论文复现卡、Benchmark卡、Demo卡、Workflow和Skill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可搜索、可复用、可追踪的创新资产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6.4 基于Solar-Harness的十个Harness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AI4Research与Solar-Harness的关系不是替代，而是分层协同：AI4Research是面向跨领域创新的业务架构，Solar-Harness是Agent、Workflow、Tool、Eval、Artifact和治理的执行底座，RSI是基于反馈持续改进平台能力的机制。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Harness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职责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关键产物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Problem Harness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把业务问题转成技术问题、科学问题、工程问题和评测问题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Problem Card、Problem Backlog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Research Harness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围绕问题建立论文、代码、Benchmark、竞品和失败案例地图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Research Map、Evidence Matrix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Agent Harness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编排Research/Coding/Benchmark/Review/Demo/Cost/Security等专业Agent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Agent Workflow、任务状态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Tool Harness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统一工具、模型、仓库、Notebook、仿真、数据处理和CI接口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Tool Registry、Model Card、调用日志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Experiment Harness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环境构建、依赖解析、数据准备、脚本运行、日志采集和失败诊断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Experiment Card、复现实验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Benchmark Harness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管理任务定义、数据版本、指标解释、人工评分、成本评分和回归测试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Benchmark Pack、Eval Report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Demo Harness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把技术证据转成业务可感知的交互样例和流程展示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Demo Pack、场景样例、成本估算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Knowledge &amp; Asset Harness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沉淀Knowledge Card、Failure Card、Skill、Workflow、Benchmark和Demo Template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资产库、复用推荐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Governance Harness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把质量、安全、成本、合规、许可和权限嵌入流程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审计日志、风险清单、质量门禁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RSI Harness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分析日志、失败、专家反馈和Benchmark结果，提出受控改进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Workflow/Prompt/Tool/Benchmark改进建议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7. 从假设到Demo到验证的端到端工作流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在AI时代，闭环工作流的核心不是‘快’，而是‘可证伪地快’。真正成功的实践都有相同结构：先形成带证据的Hypothesis，再形成最小可验证Artifact，然后通过统一评估与真实验证决定继续、转向还是停止。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阶段</w:t>
            </w:r>
          </w:p>
        </w:tc>
        <w:tc>
          <w:tcPr>
            <w:tcW w:type="dxa" w:w="2114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关键问题</w:t>
            </w:r>
          </w:p>
        </w:tc>
        <w:tc>
          <w:tcPr>
            <w:tcW w:type="dxa" w:w="2114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主要产物</w:t>
            </w:r>
          </w:p>
        </w:tc>
        <w:tc>
          <w:tcPr>
            <w:tcW w:type="dxa" w:w="2114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角色</w:t>
            </w:r>
          </w:p>
        </w:tc>
        <w:tc>
          <w:tcPr>
            <w:tcW w:type="dxa" w:w="2114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建议KPI</w:t>
            </w:r>
          </w:p>
        </w:tc>
      </w:tr>
      <w:tr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问题定义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这是不是值得做的公司级问题？失败会损失什么？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Problem Card、成功标准、风险假设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业务Sponsor、技术负责人、PM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立项决策时延、假设清晰度、业务价值明确度</w:t>
            </w:r>
          </w:p>
        </w:tc>
      </w:tr>
      <w:tr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证据建图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现有证据支持什么、反驳什么、还缺什么？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Evidence Matrix、研究地图、反例清单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领域专家、Research Agent、数据分析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证据可追溯率、冲突证据识别率</w:t>
            </w:r>
          </w:p>
        </w:tc>
      </w:tr>
      <w:tr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假设与Demo设计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什么是最小可验证Demo？Baseline是什么？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Hypothesis Card、验证计划、停机门槛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架构师、专家军团、质量代表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假设可证伪性、baseline完整度、门槛明确性</w:t>
            </w:r>
          </w:p>
        </w:tc>
      </w:tr>
      <w:tr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原型/实验执行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能否在最短周期内做出可运行Artifact？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代码、仿真、实验脚本、环境和日志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工程师、实验员、Coding/Experiment Agent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Time-to-first-demo、重现实验成功率、自动化覆盖率</w:t>
            </w:r>
          </w:p>
        </w:tc>
      </w:tr>
      <w:tr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离线评估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输出质量、安全、鲁棒性、成本是否达标？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Eval dataset、对比报告、trace/log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Eval Owner、QA、RAI/Sec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准确率、风险命中率、回归率、单位实验成本</w:t>
            </w:r>
          </w:p>
        </w:tc>
      </w:tr>
      <w:tr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真实验证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能否在真实环境、真实实验或真实业务中产生结果？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A/B结果、签核结果、实验室/现场验证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产品Owner、实验负责人、统计分析</w:t>
            </w:r>
          </w:p>
        </w:tc>
        <w:tc>
          <w:tcPr>
            <w:tcW w:type="dxa" w:w="2114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效应量、通过率、业务指标改善、失败边界</w:t>
            </w:r>
          </w:p>
        </w:tc>
      </w:tr>
      <w:tr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决策回写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继续、转向还是停止？组织学到了什么？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Go/Kill/Pivot决议、Knowledge Card、Failure Card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组合委员会、CoE、财务/战略</w:t>
            </w:r>
          </w:p>
        </w:tc>
        <w:tc>
          <w:tcPr>
            <w:tcW w:type="dxa" w:w="211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学习闭环周期、复用率、停止无效项目比例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FF6FF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1E40AF"/>
                <w:sz w:val="21"/>
              </w:rPr>
              <w:t>关键要求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每个Hypothesis和Demo都必须带来源、配置、日志、评估结果、失败边界和停机门槛。没有证据绑定、执行绑定和评估绑定的AI输出，只会制造‘看起来很快’的创新幻觉。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8. 关键机制设计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8.1 共同绩效机制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跨领域规划的本质问题之一是绩效问题。不同部门如果没有共同收益，就很难长期协作。建议建立共同目标、共同署名和共同评价机制。共同目标可以包括进入重大课题、形成平台级技术资产、支撑业务主战场、形成Demo/Benchmark、达成研发效率或产品竞争力指标。共同评价应覆盖专家贡献、技术资产贡献、Demo贡献、业务落地贡献和重大课题输入贡献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8.2 专项基金与阶段门机制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建议设立跨领域大颗粒技术规划与创新专项基金，重点支持蓝区实验资源、博士/Intern投入、外部工具和模型API、代码复现、Benchmark、Demo/PoC、专家工作坊和与总部/业务联合立项的前置验证。基金不应按传统项目一次性大额投入，而应采用阶段门方式。</w:t>
      </w:r>
    </w:p>
    <w:p>
      <w:r>
        <w:rPr>
          <w:rFonts w:ascii="Noto Sans CJK SC" w:hAnsi="Noto Sans CJK SC" w:eastAsia="Noto Sans CJK SC" w:cs="Noto Sans CJK SC"/>
          <w:sz w:val="21"/>
        </w:rPr>
        <w:t>方向发现 → 小额探索资金 → 4-8周PoC/Benchmark → 评审</w:t>
        <w:br/>
        <w:t xml:space="preserve">  通过：扩大验证资金 → Topic Pack → 重大课题输入</w:t>
        <w:br/>
        <w:t xml:space="preserve">  未通过：归档沉淀 → Failure Card / 负结果库 / Benchmark补丁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8.3 重大课题入口机制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季度跨领域方向评审会：从AI4Research和专家军团输出候选方向，进入战略层组合评审。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重大课题预备池：对Demo有证据、Benchmark有数据、业务有牵引的方向，进入预备池。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总部工作组通道：对需要公司级或2012层面支持的方向，提交Topic Pack和资源诉求。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联合立项机制：对已有业务主战场和技术支撑方的方向，推动联合立项，避免停留在信息分享阶段。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8.4 小颗粒赛马，大颗粒聚合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大颗粒方向不应一开始就锁定单一路线，而应先定义战略问题和技术地图，再拆解为多个小颗粒技术假设。每个假设用4-8周PoC验证，成功的小颗粒沉淀为能力模块，多个能力模块再动态聚合为平台级方向，成熟后进入重大课题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例如，AI时代研发工程可以拆成AI Coding、自动化测试、Harness工程、AI辅助系统设计、知识工程、AI治理、研发流程重构等多个小颗粒赛道。每个赛道形成Demo、Benchmark和资产后，再聚合为大颗粒的AI时代研发工程体系。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8.5 成熟度评价机制：TRL + BRL + ORL + ERL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跨领域规划不能只看技术先进性，还要看业务是否需要、组织是否承接、证据是否充分。建议在TRL基础上扩展为四类成熟度：技术成熟度TRL、业务成熟度BRL、组织成熟度ORL、证据成熟度ERL。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维度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低成熟度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中成熟度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高成熟度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TRL 技术成熟度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只有论文或概念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有代码复现和初步Demo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有稳定PoC和Benchmark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BRL 业务成熟度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尚无明确场景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有潜在业务接口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有主战场需求和业务Sponsor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ORL 组织成熟度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个人兴趣驱动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有专家小组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有正式工作组、资源和职责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ERL 证据成熟度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观点判断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初步实验和专家评审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可复现数据、对比实验和质量门禁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平台成熟度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无沉淀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有局部工具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有可复用平台资产和Registry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8.6 联邦式CoE与Champion网络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AI时代技术创新管理不宜采用纯分散自发式试用，也不宜采用纯中央研究院包办一切。更适合的是中央治理与平台、分布式实验与业务落地的联邦式模型：组合投资/技术规划层负责方向和资源；AI CoE/ResearchOps平台层负责标准、评估、工具和复用资产；Responsible AI/Legal/Security层负责高风险边界；领域创新Pod负责把具体问题打到Demo和验证结果。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在规模化阶段，应建立Champion网络，使各部门有懂AI方法、评估标准和平台资产的人，帮助最佳实践进入日常研发流程。中央化应集中在标准、评估、资产和风控上，而不是集中在所有假设与实验执行上。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8.7 治理边界：哪些自动化，哪些人工裁决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适合自动化</w:t>
            </w:r>
          </w:p>
        </w:tc>
        <w:tc>
          <w:tcPr>
            <w:tcW w:type="dxa" w:w="5285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必须保留人工裁决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文献初筛、资料聚类、论文代码匹配、环境搭建、脚本运行、日志整理、初步指标计算、报告草稿、Demo脚手架、失败原因初步归类</w:t>
            </w:r>
          </w:p>
        </w:tc>
        <w:tc>
          <w:tcPr>
            <w:tcW w:type="dxa" w:w="528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重大问题定义、业务价值判断、伦理/安全边界、关键技术路线选择、Benchmark口径确定、重大课题资源决策、外部工具进入标准链路、RSI主流程升级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建议采用三级门禁：自动门禁检查数据权限、License、敏感信息、运行日志、基本指标和成本阈值；质量门禁检查复现可信度、Benchmark覆盖、风险记录和资产完整性；专家门禁决定技术路线继续、停止或转向。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9. 标准工作件：让规划产物成为可迭代资产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为了让机制可执行，建议统一以下工作件。工作件不是一次性文档，而应具有Manifest、ID、版本、责任人、状态、证据链接和复用关系，使其能够被AI4Research持续调用和迭代。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工作件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核心内容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责任角色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价值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方向卡片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方向名称、战略问题、业务主战场、技术趋势、内部基础、关键假设、Demo目标、Benchmark、资源需求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技术规划、专家军团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把泛泛方向变成可管理对象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Problem Card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业务背景、技术问题、约束、价值假设、baseline、失败代价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业务代表、PM、架构师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把模糊问题转成可验证对象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Hypothesis Card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技术假设、适用场景、预期收益、风险、实验设计、退出条件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专家军团、Research Agent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支持多路线并行探索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Evidence Matrix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支持证据、反对证据、不确定项、来源、证据强度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Research Agent、领域专家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防止AI生成无来源假设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Experiment Card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环境、数据、代码、参数、日志、结果、失败原因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实验团队、Experiment Harness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形成可复现证据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Benchmark Pack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任务定义、数据集、baseline、指标、反例集、评分规则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质量运营、Benchmark Agent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形成共同评价语言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Demo Pack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PoC、交互流程、场景样例、集成约束、成本估算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Demo Agent、业务代表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让业务价值可感知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Route Decision Record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路线选择/停止/转向依据、关键争议、专家意见、下一步动作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PM、专家军团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让决策可追溯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Failure Card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失败假设、失败原因、证据、后续规避建议、可补充Benchmark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实验团队、质量运营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把失败变成组织资产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Topic Pack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课题建议、证据链、Demo/Benchmark、资源需求、里程碑、风险和门禁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PM、专家军团、Sponsor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支持重大课题输入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10. 指标体系：用经济性和复利衡量创新平台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AI4Research和跨领域规划机制的指标不能只看调用次数、材料数量或会议次数。应围绕效率、质量、创新、经济性、组织协同和资产复利六类结果评价。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指标类别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建议指标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管理意义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洞察与启动效率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技术雷达覆盖方向数、从业务问题到技术假设周期、关键论文解析数、工具发现到沙箱周期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判断静态摩擦是否下降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验证效率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从假设到Demo周期、论文发现到代码复现周期、Time-to-first-demo、PoC成功率、Benchmark构建数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判断证据生产速度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证据质量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证据可追溯率、复现实验成功率、Benchmark覆盖率、自动评估与专家评估一致率、失败原因可追溯率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判断速度是否建立在可信上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组织协同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跨部门专家参与数、专家军团运行次数、业务Sponsor参与数、联合立项数、专家杠杆率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判断专家时间是否被高效配置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战略转化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进入重大课题预备池方向数、进入总部工作组方向数、Demo转课题比例、被业务采纳方向数、避免重复投资案例数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判断前端探索是否进入主流程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经济性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单个可验证假设成本、单个Demo成本、提前停止节约成本、创新期权转化率、资产复用带来的边际成本下降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向业务当家人解释平台不是成本中心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资产沉淀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技术卡、Demo卡、Benchmark卡、Failure Card、Workflow、Skill、可复用代码组件和知识图谱关系数量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判断组织学习是否形成复利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指标还应服务RSI：平台要定期分析哪些工作流耗时最长，哪些Agent输出被专家频繁否定，哪些Benchmark区分度不足，哪些工具失败率高，哪些专家贡献被反复调用，并把分析结果纳入下一轮平台改进。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11. 建设路线图：从最小闭环到组织级创新操作系统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AI4Research和跨领域大颗粒规划机制不应一开始追求大而全。稳妥路径是先跑通最小闭环，再形成可复制模式，最后平台化、规模化和RSI化。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阶段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目标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关键动作</w:t>
            </w:r>
          </w:p>
        </w:tc>
        <w:tc>
          <w:tcPr>
            <w:tcW w:type="dxa" w:w="2642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6"/>
              </w:rPr>
              <w:t>退出标准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0-30天：启动与定边界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选2-3个高价值闭环场景，建立治理与评估骨架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明确Sponsor；建立Problem/Hypothesis/Experiment/Benchmark/Topic Pack模板；组建首批专家军团；蓝区准入标准初版；Solar-Harness打通Research/Coding/Eval最小流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每个试点都有清晰baseline、门槛、停机条件和责任人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30-90天：打通最小闭环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从Evidence → Hypothesis → Demo → Offline Eval跑通流程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接入首批工具；建立Run Registry；形成trace与评估dashboard；至少完成一个论文复现到Demo/Benchmark的闭环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至少一个试点可在固定节拍内重复运行闭环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90-180天：可复制模式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方法论、工具和资产进入Registry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蓝区网络1.0；专家画像初版；Benchmark Harness支持典型任务；Knowledge/Asset Registry沉淀；输出若干重大课题建议</w:t>
            </w:r>
          </w:p>
        </w:tc>
        <w:tc>
          <w:tcPr>
            <w:tcW w:type="dxa" w:w="2642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新试点可复用模板、Workflow、Benchmark和专家调度规则</w:t>
            </w:r>
          </w:p>
        </w:tc>
      </w:tr>
      <w:tr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6-12个月：组织级创新操作系统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多个蓝区节点联动，专家军团常态化，重大课题漏斗化管理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质量运营看板上线；HR专家技能图谱与任务调度连接；RSI Harness对Prompt、Workflow和Benchmark做受控改进</w:t>
            </w:r>
          </w:p>
        </w:tc>
        <w:tc>
          <w:tcPr>
            <w:tcW w:type="dxa" w:w="2642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6"/>
              </w:rPr>
              <w:t>AI4Research成为技术规划、重大课题和业务创新的持续输入机制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11.1 首批试点选择原则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首批试点不宜选‘最酷’的问题，而应选‘最容易闭环’的问题。建议优先选择三类场景：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证据密集但可快速用Demo验证的技术规划问题，例如架构权衡、研发情报、论文/专利扫描与机会地图。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原型密集且可通过instrumentation量化的工程问题，例如agentic coding、测试生成、代码审查、设计空间搜索。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实验或仿真密集但已有明确执行接口的问题，例如cloud lab、材料/化学实验编排、EDA优化或仿真工作流。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不适合作为首批试点的问题通常具有三个特征：既缺baseline，又缺执行接口，还没有明确成功指标。这类方向可以先进入观察池，而不是直接进入平台试点。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12. 对管理层的判断框架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向领导层汇报AI4Research和跨领域大颗粒机制时，建议少讲功能清单，多讲三张图和七个问题。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12.1 三张图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成本曲线图：传统创新在前期证据不足时就要投入较高成本；AI4Research通过小批量验证把前期成本压低，让组织先获得证据再加码。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证据链路图：从业务问题到技术假设、外部扫描、复现、Benchmark、Demo、质量门禁和重大课题输入，每一步都有产物。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• </w:t>
      </w:r>
      <w:r>
        <w:rPr>
          <w:rFonts w:ascii="Noto Sans CJK SC" w:hAnsi="Noto Sans CJK SC" w:eastAsia="Noto Sans CJK SC" w:cs="Noto Sans CJK SC"/>
          <w:sz w:val="20"/>
        </w:rPr>
        <w:t>组织协同图：蓝区网络、专家军团、质量运营、HR、Solar-Harness、AI4Research和RSI如何分工。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 w:cs="Noto Sans CJK SC"/>
          <w:b/>
          <w:color w:val="1E3A8A"/>
          <w:sz w:val="26"/>
        </w:rPr>
        <w:t>12.2 七个问题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1. </w:t>
      </w:r>
      <w:r>
        <w:rPr>
          <w:rFonts w:ascii="Noto Sans CJK SC" w:hAnsi="Noto Sans CJK SC" w:eastAsia="Noto Sans CJK SC" w:cs="Noto Sans CJK SC"/>
          <w:sz w:val="20"/>
        </w:rPr>
        <w:t>这个方向的业务价值是否清楚？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2. </w:t>
      </w:r>
      <w:r>
        <w:rPr>
          <w:rFonts w:ascii="Noto Sans CJK SC" w:hAnsi="Noto Sans CJK SC" w:eastAsia="Noto Sans CJK SC" w:cs="Noto Sans CJK SC"/>
          <w:sz w:val="20"/>
        </w:rPr>
        <w:t>这个方向是否已经被转成可验证假设？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3. </w:t>
      </w:r>
      <w:r>
        <w:rPr>
          <w:rFonts w:ascii="Noto Sans CJK SC" w:hAnsi="Noto Sans CJK SC" w:eastAsia="Noto Sans CJK SC" w:cs="Noto Sans CJK SC"/>
          <w:sz w:val="20"/>
        </w:rPr>
        <w:t>baseline是什么？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4. </w:t>
      </w:r>
      <w:r>
        <w:rPr>
          <w:rFonts w:ascii="Noto Sans CJK SC" w:hAnsi="Noto Sans CJK SC" w:eastAsia="Noto Sans CJK SC" w:cs="Noto Sans CJK SC"/>
          <w:sz w:val="20"/>
        </w:rPr>
        <w:t>最小Demo能否在较短时间内展示关键价值？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5. </w:t>
      </w:r>
      <w:r>
        <w:rPr>
          <w:rFonts w:ascii="Noto Sans CJK SC" w:hAnsi="Noto Sans CJK SC" w:eastAsia="Noto Sans CJK SC" w:cs="Noto Sans CJK SC"/>
          <w:sz w:val="20"/>
        </w:rPr>
        <w:t>失败后沉淀什么？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6. </w:t>
      </w:r>
      <w:r>
        <w:rPr>
          <w:rFonts w:ascii="Noto Sans CJK SC" w:hAnsi="Noto Sans CJK SC" w:eastAsia="Noto Sans CJK SC" w:cs="Noto Sans CJK SC"/>
          <w:sz w:val="20"/>
        </w:rPr>
        <w:t>质量和风险谁负责？</w:t>
      </w:r>
    </w:p>
    <w:p>
      <w:pPr>
        <w:spacing w:after="40" w:line="276" w:lineRule="auto"/>
        <w:ind w:left="403" w:hanging="259"/>
      </w:pPr>
      <w:r>
        <w:rPr>
          <w:rFonts w:ascii="Noto Sans CJK SC" w:hAnsi="Noto Sans CJK SC" w:eastAsia="Noto Sans CJK SC" w:cs="Noto Sans CJK SC"/>
          <w:sz w:val="20"/>
        </w:rPr>
        <w:t xml:space="preserve">7. </w:t>
      </w:r>
      <w:r>
        <w:rPr>
          <w:rFonts w:ascii="Noto Sans CJK SC" w:hAnsi="Noto Sans CJK SC" w:eastAsia="Noto Sans CJK SC" w:cs="Noto Sans CJK SC"/>
          <w:sz w:val="20"/>
        </w:rPr>
        <w:t>这次探索能否提升下一次探索效率？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这七个问题可以避免两个误判：一是把AI4Research看成普通效率工具，只要求它节省人力；二是把它看成万能创新机器，期待它自动产生重大突破。更准确的定位是：AI4Research是降低创新摩擦、提高验证速度、扩大期权组合和沉淀组织能力的平台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13. 结论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公司跨领域大颗粒技术规划已经具备一定基础，但总体仍处于点状探索阶段。当前最大问题不是没有方向，而是缺少能够让方向持续演化为Demo、PoC、Benchmark、重大课题和业务价值的系统机制。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AI时代要求技术规划发生根本升级：从年度规划升级为持续规划；从专家经验升级为人机协同洞察；从研讨汇报升级为Demo和Benchmark验证；从单部门项目升级为跨领域专家军团；从封闭环境升级为蓝区先进生产力入口；从文档沉淀升级为AI4Research平台资产；从各自绩效升级为共同绩效；从方向讨论升级为重大课题穿刺。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最终目标不是多产生几份规划报告，而是建立一种新的组织能力：能够在AI快速变化时代持续发现公司级技术机会，快速聚合跨领域专家，快速形成工程证据，快速进入重大课题循环，并最终沉淀为公司战略技术资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FF6FF"/>
            <w:vAlign w:val="top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1E40AF"/>
                <w:sz w:val="21"/>
              </w:rPr>
              <w:t>最终建议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以‘蓝区网络 + 专家军团 + AI4Research/Solar-Harness + Demo/Benchmark证据闭环 + 共同绩效/专项基金 + RSI持续改进’为整体方案，启动2-3个最容易闭环的试点，在90天内跑通证据链，在6-12个月内形成组织级创新操作系统。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附录A：新版报告新增内容索引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新增内容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来源</w:t>
            </w:r>
          </w:p>
        </w:tc>
        <w:tc>
          <w:tcPr>
            <w:tcW w:type="dxa" w:w="3523"/>
            <w:vAlign w:val="top"/>
            <w:shd w:fill="E2E8F0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0F172A"/>
                <w:sz w:val="17"/>
              </w:rPr>
              <w:t>作用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创新从灵感竞争转向验证速度竞争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《AI时代跨领域大颗粒技术创新路径》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重写摘要和问题本质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创新经济学、静态/动态摩擦、实物期权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《AI时代跨领域大颗粒技术创新路径》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解释为什么业务当家人不敢大投入，以及AI4Research如何改变成本曲线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美国AI for Science机构实践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《AI时代跨领域大颗粒技术创新路径》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补强原主稿‘外部创新扫描’占位内容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AI4Research能力边界与治理模型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《AI时代技术创新与技术规划中的AI4Research闭环实践报告》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使AI4Research从概念变成可治理对象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假设→Demo→验证闭环工作流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《AI时代技术创新与技术规划中的AI4Research闭环实践报告》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补强落地流程和KPI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GNoME/A-Lab、Rentosertib、Coscientist、AlphaChip、Copilot案例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《AI时代技术创新与技术规划中的AI4Research闭环实践报告》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提供全球可迁移案例和风险教训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Solar-Harness十个Harness与RSI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《AI时代跨领域大颗粒技术创新路径》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把AI4Research接入Solar执行底座</w:t>
            </w:r>
          </w:p>
        </w:tc>
      </w:tr>
      <w:tr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Problem/Hypothesis/Evidence/Experiment/Benchmark/Demo/Topic/Failure等工作件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两篇补充文章综合</w:t>
            </w:r>
          </w:p>
        </w:tc>
        <w:tc>
          <w:tcPr>
            <w:tcW w:type="dxa" w:w="3523"/>
            <w:vAlign w:val="top"/>
            <w:shd w:fill="F8FAFC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让工作件成为可持续迭代的资产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0-30/30-90/90-180/6-12个月路线图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两篇补充文章综合</w:t>
            </w:r>
          </w:p>
        </w:tc>
        <w:tc>
          <w:tcPr>
            <w:tcW w:type="dxa" w:w="3523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0F172A"/>
                <w:sz w:val="17"/>
              </w:rPr>
              <w:t>提供可执行落地路径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 w:cs="Noto Sans CJK SC"/>
          <w:b/>
          <w:color w:val="0F172A"/>
          <w:sz w:val="31"/>
        </w:rPr>
        <w:t>附录B：资料来源说明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F2937"/>
          <w:sz w:val="21"/>
        </w:rPr>
        <w:t>本报告主要整合Google Drive目录AI4Research下三篇内部文章：1）《跨领域大颗粒技术规划的机制和方法研究报告》；2）《AI时代跨领域大颗粒技术创新路径》；3）《AI时代技术创新与技术规划中的AI4Research闭环实践报告》。其中外部案例、机构实践、治理框架和工具平台信息来自后两篇文章列出的公开论文、官方文档和案例来源。新版报告未对这些外部来源做额外联网核验，建议在正式对外或高层材料中进一步完成引用核验与敏感信息审阅。</w:t>
      </w:r>
    </w:p>
    <w:sectPr w:rsidR="00FC693F" w:rsidRPr="0006063C" w:rsidSect="00034616">
      <w:footerReference w:type="default" r:id="rId9"/>
      <w:pgSz w:w="12240" w:h="15840"/>
      <w:pgMar w:top="936" w:right="835" w:bottom="936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B7280"/>
        <w:sz w:val="16"/>
      </w:rPr>
      <w:t>跨领域大颗粒技术规划机制方法研究报告（AI4Research增强版）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 w:cs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E3A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跨领域大颗粒技术规划的机制和方法研究报告（AI4Research增强版）</dc:title>
  <dc:subject>AI4Research; 跨领域大颗粒技术规划; Solar-Harness; 创新机制</dc:subject>
  <dc:creator/>
  <cp:keywords>AI4Research, Solar-Harness, Benchmark, Demo, 跨领域创新, 技术规划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