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AI4Research Repository QA Control Pack</w:t>
      </w:r>
    </w:p>
    <w:p>
      <w:pPr>
        <w:jc w:val="center"/>
      </w:pPr>
      <w:r>
        <w:rPr>
          <w:i/>
          <w:sz w:val="20"/>
        </w:rPr>
        <w:t>Coding-agent instructions for repo reference, side-effect policy, evidence storage, report template, and execution prompt</w:t>
      </w:r>
    </w:p>
    <w:p>
      <w:r>
        <w:rPr>
          <w:b/>
        </w:rPr>
        <w:t xml:space="preserve">Purpose. </w:t>
      </w:r>
      <w:r>
        <w:t>Use this document together with the updated QA execution workbook. The workbook contains feature IDs, function inventory templates, entrypoint mapping, existing/missing test mapping, pass/fail criteria, and severity rubric. This document defines the operating constraints and final report requirements for the coding agent.</w:t>
      </w:r>
    </w:p>
    <w:p>
      <w:pPr>
        <w:pStyle w:val="Heading1"/>
      </w:pPr>
      <w:r>
        <w:t>1. Exact repository reference</w:t>
      </w:r>
    </w:p>
    <w:p>
      <w:r>
        <w:rPr>
          <w:b/>
        </w:rPr>
        <w:t xml:space="preserve">Requirement. </w:t>
      </w:r>
      <w:r>
        <w:t>The coding agent must test an immutable repo state, not an ambiguous moving branch. Before testing, it must record the repo URL, branch, and exact commit SHA in both the evidence directory and final report.</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r/>
            <w:r>
              <w:rPr>
                <w:b/>
                <w:color w:val="FFFFFF"/>
                <w:sz w:val="18"/>
              </w:rPr>
              <w:t>Field</w:t>
            </w:r>
          </w:p>
        </w:tc>
        <w:tc>
          <w:tcPr>
            <w:tcW w:type="dxa" w:w="8208"/>
            <w:vAlign w:val="top"/>
            <w:shd w:fill="1F4E79"/>
          </w:tcPr>
          <w:p>
            <w:r/>
            <w:r>
              <w:rPr>
                <w:b/>
                <w:color w:val="FFFFFF"/>
                <w:sz w:val="18"/>
              </w:rPr>
              <w:t>Value to use / fill</w:t>
            </w:r>
          </w:p>
        </w:tc>
      </w:tr>
      <w:tr>
        <w:tc>
          <w:tcPr>
            <w:tcW w:type="dxa" w:w="2448"/>
            <w:vAlign w:val="top"/>
          </w:tcPr>
          <w:p>
            <w:r/>
            <w:r>
              <w:rPr>
                <w:b w:val="0"/>
                <w:sz w:val="18"/>
              </w:rPr>
              <w:t>Repo</w:t>
            </w:r>
          </w:p>
        </w:tc>
        <w:tc>
          <w:tcPr>
            <w:tcW w:type="dxa" w:w="8208"/>
            <w:vAlign w:val="top"/>
          </w:tcPr>
          <w:p>
            <w:r/>
            <w:r>
              <w:rPr>
                <w:b w:val="0"/>
                <w:sz w:val="18"/>
              </w:rPr>
              <w:t>https://github.com/Stellven/AI4Research</w:t>
            </w:r>
          </w:p>
        </w:tc>
      </w:tr>
      <w:tr>
        <w:tc>
          <w:tcPr>
            <w:tcW w:type="dxa" w:w="2448"/>
            <w:vAlign w:val="top"/>
          </w:tcPr>
          <w:p>
            <w:r/>
            <w:r>
              <w:rPr>
                <w:b w:val="0"/>
                <w:sz w:val="18"/>
              </w:rPr>
              <w:t>Branch</w:t>
            </w:r>
          </w:p>
        </w:tc>
        <w:tc>
          <w:tcPr>
            <w:tcW w:type="dxa" w:w="8208"/>
            <w:vAlign w:val="top"/>
          </w:tcPr>
          <w:p>
            <w:r/>
            <w:r>
              <w:rPr>
                <w:b w:val="0"/>
                <w:sz w:val="18"/>
              </w:rPr>
              <w:t>openJiuwen-Solar</w:t>
            </w:r>
          </w:p>
        </w:tc>
      </w:tr>
      <w:tr>
        <w:tc>
          <w:tcPr>
            <w:tcW w:type="dxa" w:w="2448"/>
            <w:vAlign w:val="top"/>
          </w:tcPr>
          <w:p>
            <w:r/>
            <w:r>
              <w:rPr>
                <w:b w:val="0"/>
                <w:sz w:val="18"/>
              </w:rPr>
              <w:t>Commit SHA</w:t>
            </w:r>
          </w:p>
        </w:tc>
        <w:tc>
          <w:tcPr>
            <w:tcW w:type="dxa" w:w="8208"/>
            <w:vAlign w:val="top"/>
          </w:tcPr>
          <w:p>
            <w:r/>
            <w:r>
              <w:rPr>
                <w:b w:val="0"/>
                <w:sz w:val="18"/>
              </w:rPr>
              <w:t>&lt;agent must fill using git rev-parse HEAD&gt;</w:t>
            </w:r>
          </w:p>
        </w:tc>
      </w:tr>
      <w:tr>
        <w:tc>
          <w:tcPr>
            <w:tcW w:type="dxa" w:w="2448"/>
            <w:vAlign w:val="top"/>
          </w:tcPr>
          <w:p>
            <w:r/>
            <w:r>
              <w:rPr>
                <w:b w:val="0"/>
                <w:sz w:val="18"/>
              </w:rPr>
              <w:t>Mode</w:t>
            </w:r>
          </w:p>
        </w:tc>
        <w:tc>
          <w:tcPr>
            <w:tcW w:type="dxa" w:w="8208"/>
            <w:vAlign w:val="top"/>
          </w:tcPr>
          <w:p>
            <w:r/>
            <w:r>
              <w:rPr>
                <w:b w:val="0"/>
                <w:sz w:val="18"/>
              </w:rPr>
              <w:t>audit/test only unless explicitly authorized</w:t>
            </w:r>
          </w:p>
        </w:tc>
      </w:tr>
      <w:tr>
        <w:tc>
          <w:tcPr>
            <w:tcW w:type="dxa" w:w="2448"/>
            <w:vAlign w:val="top"/>
          </w:tcPr>
          <w:p>
            <w:r/>
            <w:r>
              <w:rPr>
                <w:b w:val="0"/>
                <w:sz w:val="18"/>
              </w:rPr>
              <w:t>Primary taxonomy</w:t>
            </w:r>
          </w:p>
        </w:tc>
        <w:tc>
          <w:tcPr>
            <w:tcW w:type="dxa" w:w="8208"/>
            <w:vAlign w:val="top"/>
          </w:tcPr>
          <w:p>
            <w:r/>
            <w:r>
              <w:rPr>
                <w:b w:val="0"/>
                <w:sz w:val="18"/>
              </w:rPr>
              <w:t>ai4research_recursive_feature_split_qa_execution.xlsx</w:t>
            </w:r>
          </w:p>
        </w:tc>
      </w:tr>
      <w:tr>
        <w:tc>
          <w:tcPr>
            <w:tcW w:type="dxa" w:w="2448"/>
            <w:vAlign w:val="top"/>
          </w:tcPr>
          <w:p>
            <w:r/>
            <w:r>
              <w:rPr>
                <w:b w:val="0"/>
                <w:sz w:val="18"/>
              </w:rPr>
              <w:t>Atomic feature rule</w:t>
            </w:r>
          </w:p>
        </w:tc>
        <w:tc>
          <w:tcPr>
            <w:tcW w:type="dxa" w:w="8208"/>
            <w:vAlign w:val="top"/>
          </w:tcPr>
          <w:p>
            <w:r/>
            <w:r>
              <w:rPr>
                <w:b w:val="0"/>
                <w:sz w:val="18"/>
              </w:rPr>
              <w:t>Level 4 is the intended atomic feature; if a row has no Level 4, use the deepest non-empty level.</w:t>
            </w:r>
          </w:p>
        </w:tc>
      </w:tr>
    </w:tbl>
    <w:tbl>
      <w:tblPr>
        <w:tblStyle w:val="TableGrid"/>
        <w:tblW w:type="auto" w:w="0"/>
        <w:tblLook w:firstColumn="1" w:firstRow="1" w:lastColumn="0" w:lastRow="0" w:noHBand="0" w:noVBand="1" w:val="04A0"/>
      </w:tblPr>
      <w:tblGrid>
        <w:gridCol w:w="10224"/>
      </w:tblGrid>
      <w:tr>
        <w:tc>
          <w:tcPr>
            <w:tcW w:type="dxa" w:w="10224"/>
            <w:shd w:fill="F2F2F2"/>
          </w:tcPr>
          <w:p>
            <w:r/>
          </w:p>
          <w:p>
            <w:r>
              <w:rPr>
                <w:rFonts w:ascii="Courier New" w:hAnsi="Courier New" w:eastAsia="Courier New"/>
                <w:sz w:val="16"/>
              </w:rPr>
              <w:t>git status --short</w:t>
            </w:r>
          </w:p>
          <w:p>
            <w:r>
              <w:rPr>
                <w:rFonts w:ascii="Courier New" w:hAnsi="Courier New" w:eastAsia="Courier New"/>
                <w:sz w:val="16"/>
              </w:rPr>
              <w:t>git rev-parse --show-toplevel</w:t>
            </w:r>
          </w:p>
          <w:p>
            <w:r>
              <w:rPr>
                <w:rFonts w:ascii="Courier New" w:hAnsi="Courier New" w:eastAsia="Courier New"/>
                <w:sz w:val="16"/>
              </w:rPr>
              <w:t>git branch --show-current</w:t>
            </w:r>
          </w:p>
          <w:p>
            <w:r>
              <w:rPr>
                <w:rFonts w:ascii="Courier New" w:hAnsi="Courier New" w:eastAsia="Courier New"/>
                <w:sz w:val="16"/>
              </w:rPr>
              <w:t>git rev-parse HEAD</w:t>
            </w:r>
          </w:p>
          <w:p>
            <w:r>
              <w:rPr>
                <w:rFonts w:ascii="Courier New" w:hAnsi="Courier New" w:eastAsia="Courier New"/>
                <w:sz w:val="16"/>
              </w:rPr>
              <w:t>git remote -v</w:t>
            </w:r>
          </w:p>
        </w:tc>
      </w:tr>
    </w:tbl>
    <w:p>
      <w:pPr>
        <w:pStyle w:val="Heading1"/>
      </w:pPr>
      <w:r>
        <w:t>2. Environment and side-effect policy</w:t>
      </w:r>
    </w:p>
    <w:p>
      <w:r>
        <w:rPr>
          <w:b/>
        </w:rPr>
        <w:t xml:space="preserve">Default stance. </w:t>
      </w:r>
      <w:r>
        <w:t>Tests should be deterministic and isolated by default. The agent must not use real credentials, mutate real user state, publish releases, send email, run remote jobs, or perform destructive mutations unless the user gives explicit approval for a separate live phase.</w:t>
      </w:r>
    </w:p>
    <w:p>
      <w:r>
        <w:br w:type="page"/>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top"/>
            <w:shd w:fill="1F4E79"/>
          </w:tcPr>
          <w:p>
            <w:r/>
            <w:r>
              <w:rPr>
                <w:b/>
                <w:color w:val="FFFFFF"/>
                <w:sz w:val="18"/>
              </w:rPr>
              <w:t>Side-effect class</w:t>
            </w:r>
          </w:p>
        </w:tc>
        <w:tc>
          <w:tcPr>
            <w:tcW w:type="dxa" w:w="3312"/>
            <w:vAlign w:val="top"/>
            <w:shd w:fill="1F4E79"/>
          </w:tcPr>
          <w:p>
            <w:r/>
            <w:r>
              <w:rPr>
                <w:b/>
                <w:color w:val="FFFFFF"/>
                <w:sz w:val="18"/>
              </w:rPr>
              <w:t>Default policy</w:t>
            </w:r>
          </w:p>
        </w:tc>
        <w:tc>
          <w:tcPr>
            <w:tcW w:type="dxa" w:w="4464"/>
            <w:vAlign w:val="top"/>
            <w:shd w:fill="1F4E79"/>
          </w:tcPr>
          <w:p>
            <w:r/>
            <w:r>
              <w:rPr>
                <w:b/>
                <w:color w:val="FFFFFF"/>
                <w:sz w:val="18"/>
              </w:rPr>
              <w:t>Allowed only when</w:t>
            </w:r>
          </w:p>
        </w:tc>
      </w:tr>
      <w:tr>
        <w:tc>
          <w:tcPr>
            <w:tcW w:type="dxa" w:w="2880"/>
            <w:vAlign w:val="top"/>
          </w:tcPr>
          <w:p>
            <w:r/>
            <w:r>
              <w:rPr>
                <w:b w:val="0"/>
                <w:sz w:val="18"/>
              </w:rPr>
              <w:t>Read local files</w:t>
            </w:r>
          </w:p>
        </w:tc>
        <w:tc>
          <w:tcPr>
            <w:tcW w:type="dxa" w:w="3312"/>
            <w:vAlign w:val="top"/>
          </w:tcPr>
          <w:p>
            <w:r/>
            <w:r>
              <w:rPr>
                <w:b w:val="0"/>
                <w:sz w:val="18"/>
              </w:rPr>
              <w:t>Allowed in isolated checkout</w:t>
            </w:r>
          </w:p>
        </w:tc>
        <w:tc>
          <w:tcPr>
            <w:tcW w:type="dxa" w:w="4464"/>
            <w:vAlign w:val="top"/>
          </w:tcPr>
          <w:p>
            <w:r/>
            <w:r>
              <w:rPr>
                <w:b w:val="0"/>
                <w:sz w:val="18"/>
              </w:rPr>
              <w:t>Path is inside repo or test temp directory</w:t>
            </w:r>
          </w:p>
        </w:tc>
      </w:tr>
      <w:tr>
        <w:tc>
          <w:tcPr>
            <w:tcW w:type="dxa" w:w="2880"/>
            <w:vAlign w:val="top"/>
          </w:tcPr>
          <w:p>
            <w:r/>
            <w:r>
              <w:rPr>
                <w:b w:val="0"/>
                <w:sz w:val="18"/>
              </w:rPr>
              <w:t>Write artifacts</w:t>
            </w:r>
          </w:p>
        </w:tc>
        <w:tc>
          <w:tcPr>
            <w:tcW w:type="dxa" w:w="3312"/>
            <w:vAlign w:val="top"/>
          </w:tcPr>
          <w:p>
            <w:r/>
            <w:r>
              <w:rPr>
                <w:b w:val="0"/>
                <w:sz w:val="18"/>
              </w:rPr>
              <w:t>Allowed</w:t>
            </w:r>
          </w:p>
        </w:tc>
        <w:tc>
          <w:tcPr>
            <w:tcW w:type="dxa" w:w="4464"/>
            <w:vAlign w:val="top"/>
          </w:tcPr>
          <w:p>
            <w:r/>
            <w:r>
              <w:rPr>
                <w:b w:val="0"/>
                <w:sz w:val="18"/>
              </w:rPr>
              <w:t>Under the designated evidence directory or isolated test temp root</w:t>
            </w:r>
          </w:p>
        </w:tc>
      </w:tr>
      <w:tr>
        <w:tc>
          <w:tcPr>
            <w:tcW w:type="dxa" w:w="2880"/>
            <w:vAlign w:val="top"/>
          </w:tcPr>
          <w:p>
            <w:r/>
            <w:r>
              <w:rPr>
                <w:b w:val="0"/>
                <w:sz w:val="18"/>
              </w:rPr>
              <w:t>Wiki/local mutation</w:t>
            </w:r>
          </w:p>
        </w:tc>
        <w:tc>
          <w:tcPr>
            <w:tcW w:type="dxa" w:w="3312"/>
            <w:vAlign w:val="top"/>
          </w:tcPr>
          <w:p>
            <w:r/>
            <w:r>
              <w:rPr>
                <w:b w:val="0"/>
                <w:sz w:val="18"/>
              </w:rPr>
              <w:t>Blocked unless test explicitly verifies bounded mutation</w:t>
            </w:r>
          </w:p>
        </w:tc>
        <w:tc>
          <w:tcPr>
            <w:tcW w:type="dxa" w:w="4464"/>
            <w:vAlign w:val="top"/>
          </w:tcPr>
          <w:p>
            <w:r/>
            <w:r>
              <w:rPr>
                <w:b w:val="0"/>
                <w:sz w:val="18"/>
              </w:rPr>
              <w:t>Approval artifact or parity_demo/local fixture mode exists</w:t>
            </w:r>
          </w:p>
        </w:tc>
      </w:tr>
      <w:tr>
        <w:tc>
          <w:tcPr>
            <w:tcW w:type="dxa" w:w="2880"/>
            <w:vAlign w:val="top"/>
          </w:tcPr>
          <w:p>
            <w:r/>
            <w:r>
              <w:rPr>
                <w:b w:val="0"/>
                <w:sz w:val="18"/>
              </w:rPr>
              <w:t>Network/provider fetch</w:t>
            </w:r>
          </w:p>
        </w:tc>
        <w:tc>
          <w:tcPr>
            <w:tcW w:type="dxa" w:w="3312"/>
            <w:vAlign w:val="top"/>
          </w:tcPr>
          <w:p>
            <w:r/>
            <w:r>
              <w:rPr>
                <w:b w:val="0"/>
                <w:sz w:val="18"/>
              </w:rPr>
              <w:t>Blocked by default</w:t>
            </w:r>
          </w:p>
        </w:tc>
        <w:tc>
          <w:tcPr>
            <w:tcW w:type="dxa" w:w="4464"/>
            <w:vAlign w:val="top"/>
          </w:tcPr>
          <w:p>
            <w:r/>
            <w:r>
              <w:rPr>
                <w:b w:val="0"/>
                <w:sz w:val="18"/>
              </w:rPr>
              <w:t>Live-provider phase is explicitly approved and recorded</w:t>
            </w:r>
          </w:p>
        </w:tc>
      </w:tr>
      <w:tr>
        <w:tc>
          <w:tcPr>
            <w:tcW w:type="dxa" w:w="2880"/>
            <w:vAlign w:val="top"/>
          </w:tcPr>
          <w:p>
            <w:r/>
            <w:r>
              <w:rPr>
                <w:b w:val="0"/>
                <w:sz w:val="18"/>
              </w:rPr>
              <w:t>Remote execution</w:t>
            </w:r>
          </w:p>
        </w:tc>
        <w:tc>
          <w:tcPr>
            <w:tcW w:type="dxa" w:w="3312"/>
            <w:vAlign w:val="top"/>
          </w:tcPr>
          <w:p>
            <w:r/>
            <w:r>
              <w:rPr>
                <w:b w:val="0"/>
                <w:sz w:val="18"/>
              </w:rPr>
              <w:t>Blocked by default</w:t>
            </w:r>
          </w:p>
        </w:tc>
        <w:tc>
          <w:tcPr>
            <w:tcW w:type="dxa" w:w="4464"/>
            <w:vAlign w:val="top"/>
          </w:tcPr>
          <w:p>
            <w:r/>
            <w:r>
              <w:rPr>
                <w:b w:val="0"/>
                <w:sz w:val="18"/>
              </w:rPr>
              <w:t>Explicit approval, allowlist, before/runtime/after artifacts</w:t>
            </w:r>
          </w:p>
        </w:tc>
      </w:tr>
      <w:tr>
        <w:tc>
          <w:tcPr>
            <w:tcW w:type="dxa" w:w="2880"/>
            <w:vAlign w:val="top"/>
          </w:tcPr>
          <w:p>
            <w:r/>
            <w:r>
              <w:rPr>
                <w:b w:val="0"/>
                <w:sz w:val="18"/>
              </w:rPr>
              <w:t>Email send</w:t>
            </w:r>
          </w:p>
        </w:tc>
        <w:tc>
          <w:tcPr>
            <w:tcW w:type="dxa" w:w="3312"/>
            <w:vAlign w:val="top"/>
          </w:tcPr>
          <w:p>
            <w:r/>
            <w:r>
              <w:rPr>
                <w:b w:val="0"/>
                <w:sz w:val="18"/>
              </w:rPr>
              <w:t>Blocked by default</w:t>
            </w:r>
          </w:p>
        </w:tc>
        <w:tc>
          <w:tcPr>
            <w:tcW w:type="dxa" w:w="4464"/>
            <w:vAlign w:val="top"/>
          </w:tcPr>
          <w:p>
            <w:r/>
            <w:r>
              <w:rPr>
                <w:b w:val="0"/>
                <w:sz w:val="18"/>
              </w:rPr>
              <w:t>Explicit approval and test mailbox/sandbox</w:t>
            </w:r>
          </w:p>
        </w:tc>
      </w:tr>
      <w:tr>
        <w:tc>
          <w:tcPr>
            <w:tcW w:type="dxa" w:w="2880"/>
            <w:vAlign w:val="top"/>
          </w:tcPr>
          <w:p>
            <w:r/>
            <w:r>
              <w:rPr>
                <w:b w:val="0"/>
                <w:sz w:val="18"/>
              </w:rPr>
              <w:t>Credential/config mutation</w:t>
            </w:r>
          </w:p>
        </w:tc>
        <w:tc>
          <w:tcPr>
            <w:tcW w:type="dxa" w:w="3312"/>
            <w:vAlign w:val="top"/>
          </w:tcPr>
          <w:p>
            <w:r/>
            <w:r>
              <w:rPr>
                <w:b w:val="0"/>
                <w:sz w:val="18"/>
              </w:rPr>
              <w:t>Blocked by default</w:t>
            </w:r>
          </w:p>
        </w:tc>
        <w:tc>
          <w:tcPr>
            <w:tcW w:type="dxa" w:w="4464"/>
            <w:vAlign w:val="top"/>
          </w:tcPr>
          <w:p>
            <w:r/>
            <w:r>
              <w:rPr>
                <w:b w:val="0"/>
                <w:sz w:val="18"/>
              </w:rPr>
              <w:t>Explicit user-provided values and approval</w:t>
            </w:r>
          </w:p>
        </w:tc>
      </w:tr>
      <w:tr>
        <w:tc>
          <w:tcPr>
            <w:tcW w:type="dxa" w:w="2880"/>
            <w:vAlign w:val="top"/>
          </w:tcPr>
          <w:p>
            <w:r/>
            <w:r>
              <w:rPr>
                <w:b w:val="0"/>
                <w:sz w:val="18"/>
              </w:rPr>
              <w:t>Destructive reset/delete</w:t>
            </w:r>
          </w:p>
        </w:tc>
        <w:tc>
          <w:tcPr>
            <w:tcW w:type="dxa" w:w="3312"/>
            <w:vAlign w:val="top"/>
          </w:tcPr>
          <w:p>
            <w:r/>
            <w:r>
              <w:rPr>
                <w:b w:val="0"/>
                <w:sz w:val="18"/>
              </w:rPr>
              <w:t>Blocked by default</w:t>
            </w:r>
          </w:p>
        </w:tc>
        <w:tc>
          <w:tcPr>
            <w:tcW w:type="dxa" w:w="4464"/>
            <w:vAlign w:val="top"/>
          </w:tcPr>
          <w:p>
            <w:r/>
            <w:r>
              <w:rPr>
                <w:b w:val="0"/>
                <w:sz w:val="18"/>
              </w:rPr>
              <w:t>Dry-run first, explicit approval, isolated target only</w:t>
            </w:r>
          </w:p>
        </w:tc>
      </w:tr>
      <w:tr>
        <w:tc>
          <w:tcPr>
            <w:tcW w:type="dxa" w:w="2880"/>
            <w:vAlign w:val="top"/>
          </w:tcPr>
          <w:p>
            <w:r/>
            <w:r>
              <w:rPr>
                <w:b w:val="0"/>
                <w:sz w:val="18"/>
              </w:rPr>
              <w:t>Release/tag/push/upload</w:t>
            </w:r>
          </w:p>
        </w:tc>
        <w:tc>
          <w:tcPr>
            <w:tcW w:type="dxa" w:w="3312"/>
            <w:vAlign w:val="top"/>
          </w:tcPr>
          <w:p>
            <w:r/>
            <w:r>
              <w:rPr>
                <w:b w:val="0"/>
                <w:sz w:val="18"/>
              </w:rPr>
              <w:t>Blocked</w:t>
            </w:r>
          </w:p>
        </w:tc>
        <w:tc>
          <w:tcPr>
            <w:tcW w:type="dxa" w:w="4464"/>
            <w:vAlign w:val="top"/>
          </w:tcPr>
          <w:p>
            <w:r/>
            <w:r>
              <w:rPr>
                <w:b w:val="0"/>
                <w:sz w:val="18"/>
              </w:rPr>
              <w:t>Separate release authorization only</w:t>
            </w:r>
          </w:p>
        </w:tc>
      </w:tr>
    </w:tbl>
    <w:p>
      <w:pPr>
        <w:pStyle w:val="ListBullet"/>
      </w:pPr>
      <w:r>
        <w:t>Run installer and harness tests in isolated HOME/SOLAR_HOME/CLAUDE_DIR directories, never against the user’s real ~/.solar or ~/.claude.</w:t>
      </w:r>
    </w:p>
    <w:p>
      <w:pPr>
        <w:pStyle w:val="ListBullet"/>
      </w:pPr>
      <w:r>
        <w:t>A gated route may pass by returning BLOCKED_EXPECTED or INCONCLUSIVE_EXPECTED with a typed continuation/access request.</w:t>
      </w:r>
    </w:p>
    <w:p>
      <w:pPr>
        <w:pStyle w:val="ListBullet"/>
      </w:pPr>
      <w:r>
        <w:t>No test may treat fixture or smoke evidence as live-provider/full-parity evidence.</w:t>
      </w:r>
    </w:p>
    <w:p>
      <w:pPr>
        <w:pStyle w:val="ListBullet"/>
      </w:pPr>
      <w:r>
        <w:t>Every blocked or skipped test must state the exact missing approval, credential, tool, platform, or provider.</w:t>
      </w:r>
    </w:p>
    <w:p>
      <w:pPr>
        <w:pStyle w:val="Heading1"/>
      </w:pPr>
      <w:r>
        <w:t>3. Evidence storage convention</w:t>
      </w:r>
    </w:p>
    <w:p>
      <w:r>
        <w:rPr>
          <w:b/>
        </w:rPr>
        <w:t xml:space="preserve">All test evidence must be durable. </w:t>
      </w:r>
      <w:r>
        <w:t>The agent should create one timestamped evidence directory and write every command, output, generated artifact, and feature result there.</w:t>
      </w:r>
    </w:p>
    <w:tbl>
      <w:tblPr>
        <w:tblStyle w:val="TableGrid"/>
        <w:tblW w:type="auto" w:w="0"/>
        <w:tblLook w:firstColumn="1" w:firstRow="1" w:lastColumn="0" w:lastRow="0" w:noHBand="0" w:noVBand="1" w:val="04A0"/>
      </w:tblPr>
      <w:tblGrid>
        <w:gridCol w:w="10224"/>
      </w:tblGrid>
      <w:tr>
        <w:tc>
          <w:tcPr>
            <w:tcW w:type="dxa" w:w="10224"/>
            <w:shd w:fill="F2F2F2"/>
          </w:tcPr>
          <w:p>
            <w:r/>
          </w:p>
          <w:p>
            <w:r>
              <w:rPr>
                <w:rFonts w:ascii="Courier New" w:hAnsi="Courier New" w:eastAsia="Courier New"/>
                <w:sz w:val="16"/>
              </w:rPr>
              <w:t>docs/testing/test-runs/&lt;YYYYMMDD-HHMM&gt;-full-audit/</w:t>
            </w:r>
          </w:p>
          <w:p>
            <w:r>
              <w:rPr>
                <w:rFonts w:ascii="Courier New" w:hAnsi="Courier New" w:eastAsia="Courier New"/>
                <w:sz w:val="16"/>
              </w:rPr>
              <w:t xml:space="preserve">  environment.json</w:t>
            </w:r>
          </w:p>
          <w:p>
            <w:r>
              <w:rPr>
                <w:rFonts w:ascii="Courier New" w:hAnsi="Courier New" w:eastAsia="Courier New"/>
                <w:sz w:val="16"/>
              </w:rPr>
              <w:t xml:space="preserve">  repo-state.txt</w:t>
            </w:r>
          </w:p>
          <w:p>
            <w:r>
              <w:rPr>
                <w:rFonts w:ascii="Courier New" w:hAnsi="Courier New" w:eastAsia="Courier New"/>
                <w:sz w:val="16"/>
              </w:rPr>
              <w:t xml:space="preserve">  command-log.tsv</w:t>
            </w:r>
          </w:p>
          <w:p>
            <w:r>
              <w:rPr>
                <w:rFonts w:ascii="Courier New" w:hAnsi="Courier New" w:eastAsia="Courier New"/>
                <w:sz w:val="16"/>
              </w:rPr>
              <w:t xml:space="preserve">  feature-results.csv</w:t>
            </w:r>
          </w:p>
          <w:p>
            <w:r>
              <w:rPr>
                <w:rFonts w:ascii="Courier New" w:hAnsi="Courier New" w:eastAsia="Courier New"/>
                <w:sz w:val="16"/>
              </w:rPr>
              <w:t xml:space="preserve">  function-inventory.csv</w:t>
            </w:r>
          </w:p>
          <w:p>
            <w:r>
              <w:rPr>
                <w:rFonts w:ascii="Courier New" w:hAnsi="Courier New" w:eastAsia="Courier New"/>
                <w:sz w:val="16"/>
              </w:rPr>
              <w:t xml:space="preserve">  feature-entrypoint-map.csv</w:t>
            </w:r>
          </w:p>
          <w:p>
            <w:r>
              <w:rPr>
                <w:rFonts w:ascii="Courier New" w:hAnsi="Courier New" w:eastAsia="Courier New"/>
                <w:sz w:val="16"/>
              </w:rPr>
              <w:t xml:space="preserve">  existing-test-map.csv</w:t>
            </w:r>
          </w:p>
          <w:p>
            <w:r>
              <w:rPr>
                <w:rFonts w:ascii="Courier New" w:hAnsi="Courier New" w:eastAsia="Courier New"/>
                <w:sz w:val="16"/>
              </w:rPr>
              <w:t xml:space="preserve">  missing-test-plan.csv</w:t>
            </w:r>
          </w:p>
          <w:p>
            <w:r>
              <w:rPr>
                <w:rFonts w:ascii="Courier New" w:hAnsi="Courier New" w:eastAsia="Courier New"/>
                <w:sz w:val="16"/>
              </w:rPr>
              <w:t xml:space="preserve">  pass-fail-results.csv</w:t>
            </w:r>
          </w:p>
          <w:p>
            <w:r>
              <w:rPr>
                <w:rFonts w:ascii="Courier New" w:hAnsi="Courier New" w:eastAsia="Courier New"/>
                <w:sz w:val="16"/>
              </w:rPr>
              <w:t xml:space="preserve">  failures/</w:t>
            </w:r>
          </w:p>
          <w:p>
            <w:r>
              <w:rPr>
                <w:rFonts w:ascii="Courier New" w:hAnsi="Courier New" w:eastAsia="Courier New"/>
                <w:sz w:val="16"/>
              </w:rPr>
              <w:t xml:space="preserve">  artifacts/</w:t>
            </w:r>
          </w:p>
          <w:p>
            <w:r>
              <w:rPr>
                <w:rFonts w:ascii="Courier New" w:hAnsi="Courier New" w:eastAsia="Courier New"/>
                <w:sz w:val="16"/>
              </w:rPr>
              <w:t xml:space="preserve">  final-report.md</w:t>
            </w:r>
          </w:p>
        </w:tc>
      </w:tr>
    </w:tbl>
    <w:tbl>
      <w:tblPr>
        <w:tblStyle w:val="TableGrid"/>
        <w:tblW w:type="auto" w:w="0"/>
        <w:jc w:val="center"/>
        <w:tblLook w:firstColumn="1" w:firstRow="1" w:lastColumn="0" w:lastRow="0" w:noHBand="0" w:noVBand="1" w:val="04A0"/>
      </w:tblPr>
      <w:tblGrid>
        <w:gridCol w:w="5112"/>
        <w:gridCol w:w="5112"/>
      </w:tblGrid>
      <w:tr>
        <w:tc>
          <w:tcPr>
            <w:tcW w:type="dxa" w:w="2880"/>
            <w:vAlign w:val="top"/>
            <w:shd w:fill="1F4E79"/>
          </w:tcPr>
          <w:p>
            <w:r/>
            <w:r>
              <w:rPr>
                <w:b/>
                <w:color w:val="FFFFFF"/>
                <w:sz w:val="18"/>
              </w:rPr>
              <w:t>Evidence file</w:t>
            </w:r>
          </w:p>
        </w:tc>
        <w:tc>
          <w:tcPr>
            <w:tcW w:type="dxa" w:w="7776"/>
            <w:vAlign w:val="top"/>
            <w:shd w:fill="1F4E79"/>
          </w:tcPr>
          <w:p>
            <w:r/>
            <w:r>
              <w:rPr>
                <w:b/>
                <w:color w:val="FFFFFF"/>
                <w:sz w:val="18"/>
              </w:rPr>
              <w:t>Required content</w:t>
            </w:r>
          </w:p>
        </w:tc>
      </w:tr>
      <w:tr>
        <w:tc>
          <w:tcPr>
            <w:tcW w:type="dxa" w:w="2880"/>
            <w:vAlign w:val="top"/>
          </w:tcPr>
          <w:p>
            <w:r/>
            <w:r>
              <w:rPr>
                <w:b w:val="0"/>
                <w:sz w:val="18"/>
              </w:rPr>
              <w:t>environment.json</w:t>
            </w:r>
          </w:p>
        </w:tc>
        <w:tc>
          <w:tcPr>
            <w:tcW w:type="dxa" w:w="7776"/>
            <w:vAlign w:val="top"/>
          </w:tcPr>
          <w:p>
            <w:r/>
            <w:r>
              <w:rPr>
                <w:b w:val="0"/>
                <w:sz w:val="18"/>
              </w:rPr>
              <w:t>OS, shell, Python/Node/Bun versions, PATH-sensitive tools, network/credential/gate mode</w:t>
            </w:r>
          </w:p>
        </w:tc>
      </w:tr>
      <w:tr>
        <w:tc>
          <w:tcPr>
            <w:tcW w:type="dxa" w:w="2880"/>
            <w:vAlign w:val="top"/>
          </w:tcPr>
          <w:p>
            <w:r/>
            <w:r>
              <w:rPr>
                <w:b w:val="0"/>
                <w:sz w:val="18"/>
              </w:rPr>
              <w:t>repo-state.txt</w:t>
            </w:r>
          </w:p>
        </w:tc>
        <w:tc>
          <w:tcPr>
            <w:tcW w:type="dxa" w:w="7776"/>
            <w:vAlign w:val="top"/>
          </w:tcPr>
          <w:p>
            <w:r/>
            <w:r>
              <w:rPr>
                <w:b w:val="0"/>
                <w:sz w:val="18"/>
              </w:rPr>
              <w:t>git status, branch, commit SHA, remotes, submodule state if any</w:t>
            </w:r>
          </w:p>
        </w:tc>
      </w:tr>
      <w:tr>
        <w:tc>
          <w:tcPr>
            <w:tcW w:type="dxa" w:w="2880"/>
            <w:vAlign w:val="top"/>
          </w:tcPr>
          <w:p>
            <w:r/>
            <w:r>
              <w:rPr>
                <w:b w:val="0"/>
                <w:sz w:val="18"/>
              </w:rPr>
              <w:t>command-log.tsv</w:t>
            </w:r>
          </w:p>
        </w:tc>
        <w:tc>
          <w:tcPr>
            <w:tcW w:type="dxa" w:w="7776"/>
            <w:vAlign w:val="top"/>
          </w:tcPr>
          <w:p>
            <w:r/>
            <w:r>
              <w:rPr>
                <w:b w:val="0"/>
                <w:sz w:val="18"/>
              </w:rPr>
              <w:t>command, cwd, start/end time, exit code, stdout path, stderr path, linked feature IDs</w:t>
            </w:r>
          </w:p>
        </w:tc>
      </w:tr>
      <w:tr>
        <w:tc>
          <w:tcPr>
            <w:tcW w:type="dxa" w:w="2880"/>
            <w:vAlign w:val="top"/>
          </w:tcPr>
          <w:p>
            <w:r/>
            <w:r>
              <w:rPr>
                <w:b w:val="0"/>
                <w:sz w:val="18"/>
              </w:rPr>
              <w:t>feature-results.csv</w:t>
            </w:r>
          </w:p>
        </w:tc>
        <w:tc>
          <w:tcPr>
            <w:tcW w:type="dxa" w:w="7776"/>
            <w:vAlign w:val="top"/>
          </w:tcPr>
          <w:p>
            <w:r/>
            <w:r>
              <w:rPr>
                <w:b w:val="0"/>
                <w:sz w:val="18"/>
              </w:rPr>
              <w:t>one row per atomic feature with status, evidence refs, tests, failure reason</w:t>
            </w:r>
          </w:p>
        </w:tc>
      </w:tr>
      <w:tr>
        <w:tc>
          <w:tcPr>
            <w:tcW w:type="dxa" w:w="2880"/>
            <w:vAlign w:val="top"/>
          </w:tcPr>
          <w:p>
            <w:r/>
            <w:r>
              <w:rPr>
                <w:b w:val="0"/>
                <w:sz w:val="18"/>
              </w:rPr>
              <w:t>failures/</w:t>
            </w:r>
          </w:p>
        </w:tc>
        <w:tc>
          <w:tcPr>
            <w:tcW w:type="dxa" w:w="7776"/>
            <w:vAlign w:val="top"/>
          </w:tcPr>
          <w:p>
            <w:r/>
            <w:r>
              <w:rPr>
                <w:b w:val="0"/>
                <w:sz w:val="18"/>
              </w:rPr>
              <w:t>reproduction commands, stdout/stderr excerpts, expected vs actual, suspected root cause</w:t>
            </w:r>
          </w:p>
        </w:tc>
      </w:tr>
      <w:tr>
        <w:tc>
          <w:tcPr>
            <w:tcW w:type="dxa" w:w="2880"/>
            <w:vAlign w:val="top"/>
          </w:tcPr>
          <w:p>
            <w:r/>
            <w:r>
              <w:rPr>
                <w:b w:val="0"/>
                <w:sz w:val="18"/>
              </w:rPr>
              <w:t>artifacts/</w:t>
            </w:r>
          </w:p>
        </w:tc>
        <w:tc>
          <w:tcPr>
            <w:tcW w:type="dxa" w:w="7776"/>
            <w:vAlign w:val="top"/>
          </w:tcPr>
          <w:p>
            <w:r/>
            <w:r>
              <w:rPr>
                <w:b w:val="0"/>
                <w:sz w:val="18"/>
              </w:rPr>
              <w:t>all generated JSON, logs, screenshots, schema results, installer temp receipts</w:t>
            </w:r>
          </w:p>
        </w:tc>
      </w:tr>
    </w:tbl>
    <w:p>
      <w:pPr>
        <w:pStyle w:val="Heading1"/>
      </w:pPr>
      <w:r>
        <w:t>4. Test report template</w:t>
      </w:r>
    </w:p>
    <w:p>
      <w:r>
        <w:rPr>
          <w:b/>
        </w:rPr>
        <w:t xml:space="preserve">Final report must be evidence-linked. </w:t>
      </w:r>
      <w:r>
        <w:t>The agent should write final-report.md using this structure and include feature IDs from the workbook.</w:t>
      </w:r>
    </w:p>
    <w:tbl>
      <w:tblPr>
        <w:tblStyle w:val="TableGrid"/>
        <w:tblW w:type="auto" w:w="0"/>
        <w:tblLook w:firstColumn="1" w:firstRow="1" w:lastColumn="0" w:lastRow="0" w:noHBand="0" w:noVBand="1" w:val="04A0"/>
      </w:tblPr>
      <w:tblGrid>
        <w:gridCol w:w="10224"/>
      </w:tblGrid>
      <w:tr>
        <w:tc>
          <w:tcPr>
            <w:tcW w:type="dxa" w:w="10224"/>
            <w:shd w:fill="F2F2F2"/>
          </w:tcPr>
          <w:p>
            <w:r/>
          </w:p>
          <w:p>
            <w:r>
              <w:rPr>
                <w:rFonts w:ascii="Courier New" w:hAnsi="Courier New" w:eastAsia="Courier New"/>
                <w:sz w:val="16"/>
              </w:rPr>
              <w:t># AI4Research Test Report</w:t>
            </w:r>
          </w:p>
          <w:p>
            <w:r>
              <w:rPr>
                <w:rFonts w:ascii="Courier New" w:hAnsi="Courier New" w:eastAsia="Courier New"/>
                <w:sz w:val="16"/>
              </w:rPr>
            </w:r>
          </w:p>
          <w:p>
            <w:r>
              <w:rPr>
                <w:rFonts w:ascii="Courier New" w:hAnsi="Courier New" w:eastAsia="Courier New"/>
                <w:sz w:val="16"/>
              </w:rPr>
              <w:t>## 1. Executive Summary</w:t>
            </w:r>
          </w:p>
          <w:p>
            <w:r>
              <w:rPr>
                <w:rFonts w:ascii="Courier New" w:hAnsi="Courier New" w:eastAsia="Courier New"/>
                <w:sz w:val="16"/>
              </w:rPr>
              <w:t>- Tested repo / branch / commit</w:t>
            </w:r>
          </w:p>
          <w:p>
            <w:r>
              <w:rPr>
                <w:rFonts w:ascii="Courier New" w:hAnsi="Courier New" w:eastAsia="Courier New"/>
                <w:sz w:val="16"/>
              </w:rPr>
              <w:t>- Overall verdict</w:t>
            </w:r>
          </w:p>
          <w:p>
            <w:r>
              <w:rPr>
                <w:rFonts w:ascii="Courier New" w:hAnsi="Courier New" w:eastAsia="Courier New"/>
                <w:sz w:val="16"/>
              </w:rPr>
              <w:t>- Major blockers</w:t>
            </w:r>
          </w:p>
          <w:p>
            <w:r>
              <w:rPr>
                <w:rFonts w:ascii="Courier New" w:hAnsi="Courier New" w:eastAsia="Courier New"/>
                <w:sz w:val="16"/>
              </w:rPr>
              <w:t>- Feature counts: tested / passed / failed / blocked expected / inconclusive / skipped</w:t>
            </w:r>
          </w:p>
          <w:p>
            <w:r>
              <w:rPr>
                <w:rFonts w:ascii="Courier New" w:hAnsi="Courier New" w:eastAsia="Courier New"/>
                <w:sz w:val="16"/>
              </w:rPr>
            </w:r>
          </w:p>
          <w:p>
            <w:r>
              <w:rPr>
                <w:rFonts w:ascii="Courier New" w:hAnsi="Courier New" w:eastAsia="Courier New"/>
                <w:sz w:val="16"/>
              </w:rPr>
              <w:t>## 2. Environment</w:t>
            </w:r>
          </w:p>
          <w:p>
            <w:r>
              <w:rPr>
                <w:rFonts w:ascii="Courier New" w:hAnsi="Courier New" w:eastAsia="Courier New"/>
                <w:sz w:val="16"/>
              </w:rPr>
              <w:t>- OS, shell, Python, Node, Bun, git, bash, tmux, jq</w:t>
            </w:r>
          </w:p>
          <w:p>
            <w:r>
              <w:rPr>
                <w:rFonts w:ascii="Courier New" w:hAnsi="Courier New" w:eastAsia="Courier New"/>
                <w:sz w:val="16"/>
              </w:rPr>
              <w:t>- Network mode</w:t>
            </w:r>
          </w:p>
          <w:p>
            <w:r>
              <w:rPr>
                <w:rFonts w:ascii="Courier New" w:hAnsi="Courier New" w:eastAsia="Courier New"/>
                <w:sz w:val="16"/>
              </w:rPr>
              <w:t>- Credential mode</w:t>
            </w:r>
          </w:p>
          <w:p>
            <w:r>
              <w:rPr>
                <w:rFonts w:ascii="Courier New" w:hAnsi="Courier New" w:eastAsia="Courier New"/>
                <w:sz w:val="16"/>
              </w:rPr>
              <w:t>- Gate mode</w:t>
            </w:r>
          </w:p>
          <w:p>
            <w:r>
              <w:rPr>
                <w:rFonts w:ascii="Courier New" w:hAnsi="Courier New" w:eastAsia="Courier New"/>
                <w:sz w:val="16"/>
              </w:rPr>
              <w:t>- Isolated paths used</w:t>
            </w:r>
          </w:p>
          <w:p>
            <w:r>
              <w:rPr>
                <w:rFonts w:ascii="Courier New" w:hAnsi="Courier New" w:eastAsia="Courier New"/>
                <w:sz w:val="16"/>
              </w:rPr>
            </w:r>
          </w:p>
          <w:p>
            <w:r>
              <w:rPr>
                <w:rFonts w:ascii="Courier New" w:hAnsi="Courier New" w:eastAsia="Courier New"/>
                <w:sz w:val="16"/>
              </w:rPr>
              <w:t>## 3. Inventory Validation</w:t>
            </w:r>
          </w:p>
          <w:p>
            <w:r>
              <w:rPr>
                <w:rFonts w:ascii="Courier New" w:hAnsi="Courier New" w:eastAsia="Courier New"/>
                <w:sz w:val="16"/>
              </w:rPr>
              <w:t>- Feature rows in spreadsheet</w:t>
            </w:r>
          </w:p>
          <w:p>
            <w:r>
              <w:rPr>
                <w:rFonts w:ascii="Courier New" w:hAnsi="Courier New" w:eastAsia="Courier New"/>
                <w:sz w:val="16"/>
              </w:rPr>
              <w:t>- Functions/scripts/routes discovered</w:t>
            </w:r>
          </w:p>
          <w:p>
            <w:r>
              <w:rPr>
                <w:rFonts w:ascii="Courier New" w:hAnsi="Courier New" w:eastAsia="Courier New"/>
                <w:sz w:val="16"/>
              </w:rPr>
              <w:t>- Missing from spreadsheet</w:t>
            </w:r>
          </w:p>
          <w:p>
            <w:r>
              <w:rPr>
                <w:rFonts w:ascii="Courier New" w:hAnsi="Courier New" w:eastAsia="Courier New"/>
                <w:sz w:val="16"/>
              </w:rPr>
              <w:t>- Stale spreadsheet rows</w:t>
            </w:r>
          </w:p>
          <w:p>
            <w:r>
              <w:rPr>
                <w:rFonts w:ascii="Courier New" w:hAnsi="Courier New" w:eastAsia="Courier New"/>
                <w:sz w:val="16"/>
              </w:rPr>
              <w:t>- Unmapped functions</w:t>
            </w:r>
          </w:p>
          <w:p>
            <w:r>
              <w:rPr>
                <w:rFonts w:ascii="Courier New" w:hAnsi="Courier New" w:eastAsia="Courier New"/>
                <w:sz w:val="16"/>
              </w:rPr>
            </w:r>
          </w:p>
          <w:p>
            <w:r>
              <w:rPr>
                <w:rFonts w:ascii="Courier New" w:hAnsi="Courier New" w:eastAsia="Courier New"/>
                <w:sz w:val="16"/>
              </w:rPr>
              <w:t>## 4. Test Coverage Summary</w:t>
            </w:r>
          </w:p>
          <w:p>
            <w:r>
              <w:rPr>
                <w:rFonts w:ascii="Courier New" w:hAnsi="Courier New" w:eastAsia="Courier New"/>
                <w:sz w:val="16"/>
              </w:rPr>
              <w:t>- By part: workflow / foundations / misc</w:t>
            </w:r>
          </w:p>
          <w:p>
            <w:r>
              <w:rPr>
                <w:rFonts w:ascii="Courier New" w:hAnsi="Courier New" w:eastAsia="Courier New"/>
                <w:sz w:val="16"/>
              </w:rPr>
              <w:t>- By feature level</w:t>
            </w:r>
          </w:p>
          <w:p>
            <w:r>
              <w:rPr>
                <w:rFonts w:ascii="Courier New" w:hAnsi="Courier New" w:eastAsia="Courier New"/>
                <w:sz w:val="16"/>
              </w:rPr>
              <w:t>- By automation type</w:t>
            </w:r>
          </w:p>
          <w:p>
            <w:r>
              <w:rPr>
                <w:rFonts w:ascii="Courier New" w:hAnsi="Courier New" w:eastAsia="Courier New"/>
                <w:sz w:val="16"/>
              </w:rPr>
              <w:t>- By priority / risk</w:t>
            </w:r>
          </w:p>
          <w:p>
            <w:r>
              <w:rPr>
                <w:rFonts w:ascii="Courier New" w:hAnsi="Courier New" w:eastAsia="Courier New"/>
                <w:sz w:val="16"/>
              </w:rPr>
            </w:r>
          </w:p>
          <w:p>
            <w:r>
              <w:rPr>
                <w:rFonts w:ascii="Courier New" w:hAnsi="Courier New" w:eastAsia="Courier New"/>
                <w:sz w:val="16"/>
              </w:rPr>
              <w:t>## 5. Detailed Feature Results</w:t>
            </w:r>
          </w:p>
          <w:p>
            <w:r>
              <w:rPr>
                <w:rFonts w:ascii="Courier New" w:hAnsi="Courier New" w:eastAsia="Courier New"/>
                <w:sz w:val="16"/>
              </w:rPr>
              <w:t>For each feature ID:</w:t>
            </w:r>
          </w:p>
          <w:p>
            <w:r>
              <w:rPr>
                <w:rFonts w:ascii="Courier New" w:hAnsi="Courier New" w:eastAsia="Courier New"/>
                <w:sz w:val="16"/>
              </w:rPr>
              <w:t>- feature path</w:t>
            </w:r>
          </w:p>
          <w:p>
            <w:r>
              <w:rPr>
                <w:rFonts w:ascii="Courier New" w:hAnsi="Courier New" w:eastAsia="Courier New"/>
                <w:sz w:val="16"/>
              </w:rPr>
              <w:t>- entrypoints</w:t>
            </w:r>
          </w:p>
          <w:p>
            <w:r>
              <w:rPr>
                <w:rFonts w:ascii="Courier New" w:hAnsi="Courier New" w:eastAsia="Courier New"/>
                <w:sz w:val="16"/>
              </w:rPr>
              <w:t>- tests run</w:t>
            </w:r>
          </w:p>
          <w:p>
            <w:r>
              <w:rPr>
                <w:rFonts w:ascii="Courier New" w:hAnsi="Courier New" w:eastAsia="Courier New"/>
                <w:sz w:val="16"/>
              </w:rPr>
              <w:t>- status</w:t>
            </w:r>
          </w:p>
          <w:p>
            <w:r>
              <w:rPr>
                <w:rFonts w:ascii="Courier New" w:hAnsi="Courier New" w:eastAsia="Courier New"/>
                <w:sz w:val="16"/>
              </w:rPr>
              <w:t>- evidence references</w:t>
            </w:r>
          </w:p>
          <w:p>
            <w:r>
              <w:rPr>
                <w:rFonts w:ascii="Courier New" w:hAnsi="Courier New" w:eastAsia="Courier New"/>
                <w:sz w:val="16"/>
              </w:rPr>
              <w:t>- failure reason or gated reason</w:t>
            </w:r>
          </w:p>
          <w:p>
            <w:r>
              <w:rPr>
                <w:rFonts w:ascii="Courier New" w:hAnsi="Courier New" w:eastAsia="Courier New"/>
                <w:sz w:val="16"/>
              </w:rPr>
            </w:r>
          </w:p>
          <w:p>
            <w:r>
              <w:rPr>
                <w:rFonts w:ascii="Courier New" w:hAnsi="Courier New" w:eastAsia="Courier New"/>
                <w:sz w:val="16"/>
              </w:rPr>
              <w:t>## 6. Failures and Defects</w:t>
            </w:r>
          </w:p>
          <w:p>
            <w:r>
              <w:rPr>
                <w:rFonts w:ascii="Courier New" w:hAnsi="Courier New" w:eastAsia="Courier New"/>
                <w:sz w:val="16"/>
              </w:rPr>
              <w:t>- P0/P1/P2/P3/P4</w:t>
            </w:r>
          </w:p>
          <w:p>
            <w:r>
              <w:rPr>
                <w:rFonts w:ascii="Courier New" w:hAnsi="Courier New" w:eastAsia="Courier New"/>
                <w:sz w:val="16"/>
              </w:rPr>
              <w:t>- reproduction command</w:t>
            </w:r>
          </w:p>
          <w:p>
            <w:r>
              <w:rPr>
                <w:rFonts w:ascii="Courier New" w:hAnsi="Courier New" w:eastAsia="Courier New"/>
                <w:sz w:val="16"/>
              </w:rPr>
              <w:t>- expected vs actual</w:t>
            </w:r>
          </w:p>
          <w:p>
            <w:r>
              <w:rPr>
                <w:rFonts w:ascii="Courier New" w:hAnsi="Courier New" w:eastAsia="Courier New"/>
                <w:sz w:val="16"/>
              </w:rPr>
              <w:t>- suspected root cause</w:t>
            </w:r>
          </w:p>
          <w:p>
            <w:r>
              <w:rPr>
                <w:rFonts w:ascii="Courier New" w:hAnsi="Courier New" w:eastAsia="Courier New"/>
                <w:sz w:val="16"/>
              </w:rPr>
              <w:t>- affected features</w:t>
            </w:r>
          </w:p>
          <w:p>
            <w:r>
              <w:rPr>
                <w:rFonts w:ascii="Courier New" w:hAnsi="Courier New" w:eastAsia="Courier New"/>
                <w:sz w:val="16"/>
              </w:rPr>
            </w:r>
          </w:p>
          <w:p>
            <w:r>
              <w:rPr>
                <w:rFonts w:ascii="Courier New" w:hAnsi="Courier New" w:eastAsia="Courier New"/>
                <w:sz w:val="16"/>
              </w:rPr>
              <w:t>## 7. Gated / Inconclusive Surfaces</w:t>
            </w:r>
          </w:p>
          <w:p>
            <w:r>
              <w:rPr>
                <w:rFonts w:ascii="Courier New" w:hAnsi="Courier New" w:eastAsia="Courier New"/>
                <w:sz w:val="16"/>
              </w:rPr>
              <w:t>- what could not be executed</w:t>
            </w:r>
          </w:p>
          <w:p>
            <w:r>
              <w:rPr>
                <w:rFonts w:ascii="Courier New" w:hAnsi="Courier New" w:eastAsia="Courier New"/>
                <w:sz w:val="16"/>
              </w:rPr>
              <w:t>- why</w:t>
            </w:r>
          </w:p>
          <w:p>
            <w:r>
              <w:rPr>
                <w:rFonts w:ascii="Courier New" w:hAnsi="Courier New" w:eastAsia="Courier New"/>
                <w:sz w:val="16"/>
              </w:rPr>
              <w:t>- required approval/environment/provider</w:t>
            </w:r>
          </w:p>
          <w:p>
            <w:r>
              <w:rPr>
                <w:rFonts w:ascii="Courier New" w:hAnsi="Courier New" w:eastAsia="Courier New"/>
                <w:sz w:val="16"/>
              </w:rPr>
            </w:r>
          </w:p>
          <w:p>
            <w:r>
              <w:rPr>
                <w:rFonts w:ascii="Courier New" w:hAnsi="Courier New" w:eastAsia="Courier New"/>
                <w:sz w:val="16"/>
              </w:rPr>
              <w:t>## 8. Missing Tests</w:t>
            </w:r>
          </w:p>
          <w:p>
            <w:r>
              <w:rPr>
                <w:rFonts w:ascii="Courier New" w:hAnsi="Courier New" w:eastAsia="Courier New"/>
                <w:sz w:val="16"/>
              </w:rPr>
              <w:t>- features without direct test</w:t>
            </w:r>
          </w:p>
          <w:p>
            <w:r>
              <w:rPr>
                <w:rFonts w:ascii="Courier New" w:hAnsi="Courier New" w:eastAsia="Courier New"/>
                <w:sz w:val="16"/>
              </w:rPr>
              <w:t>- recommended tests</w:t>
            </w:r>
          </w:p>
          <w:p>
            <w:r>
              <w:rPr>
                <w:rFonts w:ascii="Courier New" w:hAnsi="Courier New" w:eastAsia="Courier New"/>
                <w:sz w:val="16"/>
              </w:rPr>
            </w:r>
          </w:p>
          <w:p>
            <w:r>
              <w:rPr>
                <w:rFonts w:ascii="Courier New" w:hAnsi="Courier New" w:eastAsia="Courier New"/>
                <w:sz w:val="16"/>
              </w:rPr>
              <w:t>## 9. Final Verdict</w:t>
            </w:r>
          </w:p>
          <w:p>
            <w:r>
              <w:rPr>
                <w:rFonts w:ascii="Courier New" w:hAnsi="Courier New" w:eastAsia="Courier New"/>
                <w:sz w:val="16"/>
              </w:rPr>
              <w:t>- release readiness</w:t>
            </w:r>
          </w:p>
          <w:p>
            <w:r>
              <w:rPr>
                <w:rFonts w:ascii="Courier New" w:hAnsi="Courier New" w:eastAsia="Courier New"/>
                <w:sz w:val="16"/>
              </w:rPr>
              <w:t>- parity status if relevant</w:t>
            </w:r>
          </w:p>
          <w:p>
            <w:r>
              <w:rPr>
                <w:rFonts w:ascii="Courier New" w:hAnsi="Courier New" w:eastAsia="Courier New"/>
                <w:sz w:val="16"/>
              </w:rPr>
              <w:t>- recommended next actions</w:t>
            </w:r>
          </w:p>
        </w:tc>
      </w:tr>
    </w:tbl>
    <w:p>
      <w:pPr>
        <w:pStyle w:val="Heading1"/>
      </w:pPr>
      <w:r>
        <w:t>5. Copy-paste coding-agent prompt</w:t>
      </w:r>
    </w:p>
    <w:p>
      <w:r>
        <w:rPr>
          <w:b/>
        </w:rPr>
        <w:t>Use the prompt below when giving the workbook and markdown runbooks to a coding agent.</w:t>
      </w:r>
    </w:p>
    <w:tbl>
      <w:tblPr>
        <w:tblStyle w:val="TableGrid"/>
        <w:tblW w:type="auto" w:w="0"/>
        <w:tblLook w:firstColumn="1" w:firstRow="1" w:lastColumn="0" w:lastRow="0" w:noHBand="0" w:noVBand="1" w:val="04A0"/>
      </w:tblPr>
      <w:tblGrid>
        <w:gridCol w:w="10224"/>
      </w:tblGrid>
      <w:tr>
        <w:tc>
          <w:tcPr>
            <w:tcW w:type="dxa" w:w="10224"/>
            <w:shd w:fill="F2F2F2"/>
          </w:tcPr>
          <w:p>
            <w:r/>
          </w:p>
          <w:p>
            <w:r>
              <w:rPr>
                <w:rFonts w:ascii="Courier New" w:hAnsi="Courier New" w:eastAsia="Courier New"/>
                <w:sz w:val="16"/>
              </w:rPr>
              <w:t>You are performing a test audit of the AI4Research repository only. Do not modify production code unless explicitly requested. Use ai4research_recursive_feature_split_qa_execution.xlsx as the feature taxonomy and testing control workbook.</w:t>
            </w:r>
          </w:p>
          <w:p>
            <w:r>
              <w:rPr>
                <w:rFonts w:ascii="Courier New" w:hAnsi="Courier New" w:eastAsia="Courier New"/>
                <w:sz w:val="16"/>
              </w:rPr>
            </w:r>
          </w:p>
          <w:p>
            <w:r>
              <w:rPr>
                <w:rFonts w:ascii="Courier New" w:hAnsi="Courier New" w:eastAsia="Courier New"/>
                <w:sz w:val="16"/>
              </w:rPr>
              <w:t>Target:</w:t>
            </w:r>
          </w:p>
          <w:p>
            <w:r>
              <w:rPr>
                <w:rFonts w:ascii="Courier New" w:hAnsi="Courier New" w:eastAsia="Courier New"/>
                <w:sz w:val="16"/>
              </w:rPr>
              <w:t>- Repo: https://github.com/Stellven/AI4Research</w:t>
            </w:r>
          </w:p>
          <w:p>
            <w:r>
              <w:rPr>
                <w:rFonts w:ascii="Courier New" w:hAnsi="Courier New" w:eastAsia="Courier New"/>
                <w:sz w:val="16"/>
              </w:rPr>
              <w:t>- Branch: openJiuwen-Solar</w:t>
            </w:r>
          </w:p>
          <w:p>
            <w:r>
              <w:rPr>
                <w:rFonts w:ascii="Courier New" w:hAnsi="Courier New" w:eastAsia="Courier New"/>
                <w:sz w:val="16"/>
              </w:rPr>
              <w:t>- Commit: record exact SHA with git rev-parse HEAD before testing.</w:t>
            </w:r>
          </w:p>
          <w:p>
            <w:r>
              <w:rPr>
                <w:rFonts w:ascii="Courier New" w:hAnsi="Courier New" w:eastAsia="Courier New"/>
                <w:sz w:val="16"/>
              </w:rPr>
            </w:r>
          </w:p>
          <w:p>
            <w:r>
              <w:rPr>
                <w:rFonts w:ascii="Courier New" w:hAnsi="Courier New" w:eastAsia="Courier New"/>
                <w:sz w:val="16"/>
              </w:rPr>
              <w:t>Tasks:</w:t>
            </w:r>
          </w:p>
          <w:p>
            <w:r>
              <w:rPr>
                <w:rFonts w:ascii="Courier New" w:hAnsi="Courier New" w:eastAsia="Courier New"/>
                <w:sz w:val="16"/>
              </w:rPr>
              <w:t>1. Validate the spreadsheet against the current repo checkout.</w:t>
            </w:r>
          </w:p>
          <w:p>
            <w:r>
              <w:rPr>
                <w:rFonts w:ascii="Courier New" w:hAnsi="Courier New" w:eastAsia="Courier New"/>
                <w:sz w:val="16"/>
              </w:rPr>
              <w:t>2. Generate a function/script/route/schema/workflow/package-script inventory.</w:t>
            </w:r>
          </w:p>
          <w:p>
            <w:r>
              <w:rPr>
                <w:rFonts w:ascii="Courier New" w:hAnsi="Courier New" w:eastAsia="Courier New"/>
                <w:sz w:val="16"/>
              </w:rPr>
              <w:t>3. Map every discovered implementation item to an atomic feature ID or mark it support/dead/unmapped.</w:t>
            </w:r>
          </w:p>
          <w:p>
            <w:r>
              <w:rPr>
                <w:rFonts w:ascii="Courier New" w:hAnsi="Courier New" w:eastAsia="Courier New"/>
                <w:sz w:val="16"/>
              </w:rPr>
              <w:t>4. Map every atomic feature to entrypoints, existing tests, missing tests, and pass/fail criteria.</w:t>
            </w:r>
          </w:p>
          <w:p>
            <w:r>
              <w:rPr>
                <w:rFonts w:ascii="Courier New" w:hAnsi="Courier New" w:eastAsia="Courier New"/>
                <w:sz w:val="16"/>
              </w:rPr>
              <w:t>5. Run tests in isolated temp directories. Do not use the user’s real ~/.solar or ~/.claude.</w:t>
            </w:r>
          </w:p>
          <w:p>
            <w:r>
              <w:rPr>
                <w:rFonts w:ascii="Courier New" w:hAnsi="Courier New" w:eastAsia="Courier New"/>
                <w:sz w:val="16"/>
              </w:rPr>
              <w:t>6. Do not use real credentials. Do not perform destructive mutations, remote execution, email sending, release/tag/push/upload, or credential writing.</w:t>
            </w:r>
          </w:p>
          <w:p>
            <w:r>
              <w:rPr>
                <w:rFonts w:ascii="Courier New" w:hAnsi="Courier New" w:eastAsia="Courier New"/>
                <w:sz w:val="16"/>
              </w:rPr>
              <w:t>7. Treat correct approval-gated blocking as BLOCKED_EXPECTED, not as failure.</w:t>
            </w:r>
          </w:p>
          <w:p>
            <w:r>
              <w:rPr>
                <w:rFonts w:ascii="Courier New" w:hAnsi="Courier New" w:eastAsia="Courier New"/>
                <w:sz w:val="16"/>
              </w:rPr>
              <w:t>8. Treat fixture-only, provider-missing, or approval-missing outcomes as INCONCLUSIVE_EXPECTED when the system reports them honestly through typed evidence.</w:t>
            </w:r>
          </w:p>
          <w:p>
            <w:r>
              <w:rPr>
                <w:rFonts w:ascii="Courier New" w:hAnsi="Courier New" w:eastAsia="Courier New"/>
                <w:sz w:val="16"/>
              </w:rPr>
              <w:t>9. Store all command evidence under docs/testing/test-runs/&lt;timestamp&gt;-full-audit/.</w:t>
            </w:r>
          </w:p>
          <w:p>
            <w:r>
              <w:rPr>
                <w:rFonts w:ascii="Courier New" w:hAnsi="Courier New" w:eastAsia="Courier New"/>
                <w:sz w:val="16"/>
              </w:rPr>
              <w:t>10. Produce final-report.md using the report template in this document.</w:t>
            </w:r>
          </w:p>
          <w:p>
            <w:r>
              <w:rPr>
                <w:rFonts w:ascii="Courier New" w:hAnsi="Courier New" w:eastAsia="Courier New"/>
                <w:sz w:val="16"/>
              </w:rPr>
            </w:r>
          </w:p>
          <w:p>
            <w:r>
              <w:rPr>
                <w:rFonts w:ascii="Courier New" w:hAnsi="Courier New" w:eastAsia="Courier New"/>
                <w:sz w:val="16"/>
              </w:rPr>
              <w:t>Required result classifications:</w:t>
            </w:r>
          </w:p>
          <w:p>
            <w:r>
              <w:rPr>
                <w:rFonts w:ascii="Courier New" w:hAnsi="Courier New" w:eastAsia="Courier New"/>
                <w:sz w:val="16"/>
              </w:rPr>
              <w:t>PASS, FAIL, BLOCKED_EXPECTED, INCONCLUSIVE_EXPECTED, SKIPPED_NA, SKIPPED_ENV, FLAKY, NOT_RUN.</w:t>
            </w:r>
          </w:p>
          <w:p>
            <w:r>
              <w:rPr>
                <w:rFonts w:ascii="Courier New" w:hAnsi="Courier New" w:eastAsia="Courier New"/>
                <w:sz w:val="16"/>
              </w:rPr>
            </w:r>
          </w:p>
          <w:p>
            <w:r>
              <w:rPr>
                <w:rFonts w:ascii="Courier New" w:hAnsi="Courier New" w:eastAsia="Courier New"/>
                <w:sz w:val="16"/>
              </w:rPr>
              <w:t>Automatic P0/P1 conditions:</w:t>
            </w:r>
          </w:p>
          <w:p>
            <w:r>
              <w:rPr>
                <w:rFonts w:ascii="Courier New" w:hAnsi="Courier New" w:eastAsia="Courier New"/>
                <w:sz w:val="16"/>
              </w:rPr>
              <w:t>- destructive side effect without approval</w:t>
            </w:r>
          </w:p>
          <w:p>
            <w:r>
              <w:rPr>
                <w:rFonts w:ascii="Courier New" w:hAnsi="Courier New" w:eastAsia="Courier New"/>
                <w:sz w:val="16"/>
              </w:rPr>
              <w:t>- credential leak or credential mutation without approval</w:t>
            </w:r>
          </w:p>
          <w:p>
            <w:r>
              <w:rPr>
                <w:rFonts w:ascii="Courier New" w:hAnsi="Courier New" w:eastAsia="Courier New"/>
                <w:sz w:val="16"/>
              </w:rPr>
              <w:t>- remote execution or email send without approval</w:t>
            </w:r>
          </w:p>
          <w:p>
            <w:r>
              <w:rPr>
                <w:rFonts w:ascii="Courier New" w:hAnsi="Courier New" w:eastAsia="Courier New"/>
                <w:sz w:val="16"/>
              </w:rPr>
              <w:t>- release/tag/push/upload without release authorization</w:t>
            </w:r>
          </w:p>
          <w:p>
            <w:r>
              <w:rPr>
                <w:rFonts w:ascii="Courier New" w:hAnsi="Courier New" w:eastAsia="Courier New"/>
                <w:sz w:val="16"/>
              </w:rPr>
              <w:t>- evidence gate accepts malformed or unsupported evidence</w:t>
            </w:r>
          </w:p>
          <w:p>
            <w:r>
              <w:rPr>
                <w:rFonts w:ascii="Courier New" w:hAnsi="Courier New" w:eastAsia="Courier New"/>
                <w:sz w:val="16"/>
              </w:rPr>
              <w:t>- fixture evidence is counted as live/full parity</w:t>
            </w:r>
          </w:p>
          <w:p>
            <w:r>
              <w:rPr>
                <w:rFonts w:ascii="Courier New" w:hAnsi="Courier New" w:eastAsia="Courier New"/>
                <w:sz w:val="16"/>
              </w:rPr>
              <w:t>- installer mutates real user home during isolated test</w:t>
            </w:r>
          </w:p>
          <w:p>
            <w:r>
              <w:rPr>
                <w:rFonts w:ascii="Courier New" w:hAnsi="Courier New" w:eastAsia="Courier New"/>
                <w:sz w:val="16"/>
              </w:rPr>
              <w:t>- /research hides stages inside a black-box backend full workflow</w:t>
            </w:r>
          </w:p>
          <w:p>
            <w:r>
              <w:rPr>
                <w:rFonts w:ascii="Courier New" w:hAnsi="Courier New" w:eastAsia="Courier New"/>
                <w:sz w:val="16"/>
              </w:rPr>
            </w:r>
          </w:p>
          <w:p>
            <w:r>
              <w:rPr>
                <w:rFonts w:ascii="Courier New" w:hAnsi="Courier New" w:eastAsia="Courier New"/>
                <w:sz w:val="16"/>
              </w:rPr>
              <w:t>Deliverables:</w:t>
            </w:r>
          </w:p>
          <w:p>
            <w:r>
              <w:rPr>
                <w:rFonts w:ascii="Courier New" w:hAnsi="Courier New" w:eastAsia="Courier New"/>
                <w:sz w:val="16"/>
              </w:rPr>
              <w:t>- final-report.md</w:t>
            </w:r>
          </w:p>
          <w:p>
            <w:r>
              <w:rPr>
                <w:rFonts w:ascii="Courier New" w:hAnsi="Courier New" w:eastAsia="Courier New"/>
                <w:sz w:val="16"/>
              </w:rPr>
              <w:t>- command-log.tsv</w:t>
            </w:r>
          </w:p>
          <w:p>
            <w:r>
              <w:rPr>
                <w:rFonts w:ascii="Courier New" w:hAnsi="Courier New" w:eastAsia="Courier New"/>
                <w:sz w:val="16"/>
              </w:rPr>
              <w:t>- feature-results.csv</w:t>
            </w:r>
          </w:p>
          <w:p>
            <w:r>
              <w:rPr>
                <w:rFonts w:ascii="Courier New" w:hAnsi="Courier New" w:eastAsia="Courier New"/>
                <w:sz w:val="16"/>
              </w:rPr>
              <w:t>- function-inventory.csv</w:t>
            </w:r>
          </w:p>
          <w:p>
            <w:r>
              <w:rPr>
                <w:rFonts w:ascii="Courier New" w:hAnsi="Courier New" w:eastAsia="Courier New"/>
                <w:sz w:val="16"/>
              </w:rPr>
              <w:t>- feature-entrypoint-map.csv</w:t>
            </w:r>
          </w:p>
          <w:p>
            <w:r>
              <w:rPr>
                <w:rFonts w:ascii="Courier New" w:hAnsi="Courier New" w:eastAsia="Courier New"/>
                <w:sz w:val="16"/>
              </w:rPr>
              <w:t>- existing-test-map.csv</w:t>
            </w:r>
          </w:p>
          <w:p>
            <w:r>
              <w:rPr>
                <w:rFonts w:ascii="Courier New" w:hAnsi="Courier New" w:eastAsia="Courier New"/>
                <w:sz w:val="16"/>
              </w:rPr>
              <w:t>- missing-test-plan.csv</w:t>
            </w:r>
          </w:p>
          <w:p>
            <w:r>
              <w:rPr>
                <w:rFonts w:ascii="Courier New" w:hAnsi="Courier New" w:eastAsia="Courier New"/>
                <w:sz w:val="16"/>
              </w:rPr>
              <w:t>- pass-fail-results.csv</w:t>
            </w:r>
          </w:p>
          <w:p>
            <w:r>
              <w:rPr>
                <w:rFonts w:ascii="Courier New" w:hAnsi="Courier New" w:eastAsia="Courier New"/>
                <w:sz w:val="16"/>
              </w:rPr>
              <w:t>- artifacts/failures directory with reproduction evidence.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AI4Research QA Control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