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477B76" w:rsidRDefault="00477B7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="00B03BA5" w:rsidRPr="00B03BA5">
        <w:rPr>
          <w:rFonts w:ascii="Times New Roman" w:hAnsi="Times New Roman" w:cs="Times New Roman"/>
          <w:sz w:val="28"/>
        </w:rPr>
        <w:t xml:space="preserve"> </w:t>
      </w:r>
      <w:r w:rsidR="00B03BA5"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1) и представляет собой адаптер класса.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075" cy="1876425"/>
            <wp:effectExtent l="0" t="0" r="9525" b="9525"/>
            <wp:docPr id="2" name="Рисунок 2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P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FA0250" w:rsidRDefault="004B19ED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A57752" w:rsidRP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</w:t>
      </w:r>
      <w:r w:rsidR="00FE62C0">
        <w:rPr>
          <w:rFonts w:ascii="Times New Roman" w:hAnsi="Times New Roman" w:cs="Times New Roman"/>
          <w:sz w:val="28"/>
        </w:rPr>
        <w:t xml:space="preserve"> обладает достаточной гибкостью</w:t>
      </w:r>
      <w:r>
        <w:rPr>
          <w:rFonts w:ascii="Times New Roman" w:hAnsi="Times New Roman" w:cs="Times New Roman"/>
          <w:sz w:val="28"/>
        </w:rPr>
        <w:t xml:space="preserve"> (в</w:t>
      </w:r>
      <w:r w:rsidR="00FE62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некоторых языках программирования существуют такие сущности как интерфейсы, в которых нет реализаций, но</w:t>
      </w:r>
      <w:r w:rsidR="00FE62C0">
        <w:rPr>
          <w:rFonts w:ascii="Times New Roman" w:hAnsi="Times New Roman" w:cs="Times New Roman"/>
          <w:sz w:val="28"/>
        </w:rPr>
        <w:t xml:space="preserve"> есть описание полей и методов). </w:t>
      </w:r>
      <w:r>
        <w:rPr>
          <w:rFonts w:ascii="Times New Roman" w:hAnsi="Times New Roman" w:cs="Times New Roman"/>
          <w:sz w:val="28"/>
        </w:rPr>
        <w:t>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C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72CB" w:rsidRPr="00250C9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72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7756" cy="5650173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62" cy="5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65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003C1">
        <w:rPr>
          <w:noProof/>
          <w:lang w:eastAsia="ru-RU"/>
        </w:rPr>
        <w:drawing>
          <wp:inline distT="0" distB="0" distL="0" distR="0" wp14:anchorId="379E85E3" wp14:editId="3921788C">
            <wp:extent cx="5731510" cy="45053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2" w:rsidRDefault="002216A2" w:rsidP="00EC7798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915EB" w:rsidRPr="00016670" w:rsidRDefault="00372A4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ies Graph event lin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ies Graph event mana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endencies Graph po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 registr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endencies Grap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5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90163" cy="428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5EB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0F7182"/>
    <w:rsid w:val="00152285"/>
    <w:rsid w:val="001638E4"/>
    <w:rsid w:val="00171065"/>
    <w:rsid w:val="0018099F"/>
    <w:rsid w:val="00187F59"/>
    <w:rsid w:val="001915EB"/>
    <w:rsid w:val="002216A2"/>
    <w:rsid w:val="00250C9B"/>
    <w:rsid w:val="00372A46"/>
    <w:rsid w:val="00461622"/>
    <w:rsid w:val="00477B76"/>
    <w:rsid w:val="004855E3"/>
    <w:rsid w:val="004B19ED"/>
    <w:rsid w:val="007B085F"/>
    <w:rsid w:val="008B648F"/>
    <w:rsid w:val="009003C1"/>
    <w:rsid w:val="009462AE"/>
    <w:rsid w:val="009C2523"/>
    <w:rsid w:val="00A46CBF"/>
    <w:rsid w:val="00A57752"/>
    <w:rsid w:val="00B03BA5"/>
    <w:rsid w:val="00B172CB"/>
    <w:rsid w:val="00C340F4"/>
    <w:rsid w:val="00C43ACB"/>
    <w:rsid w:val="00D213EA"/>
    <w:rsid w:val="00DB75F1"/>
    <w:rsid w:val="00EC7798"/>
    <w:rsid w:val="00F4087F"/>
    <w:rsid w:val="00F42E90"/>
    <w:rsid w:val="00F80796"/>
    <w:rsid w:val="00FA0250"/>
    <w:rsid w:val="00FB40B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1106</Words>
  <Characters>7047</Characters>
  <Application>Microsoft Office Word</Application>
  <DocSecurity>0</DocSecurity>
  <Lines>251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9</cp:revision>
  <dcterms:created xsi:type="dcterms:W3CDTF">2016-11-30T18:53:00Z</dcterms:created>
  <dcterms:modified xsi:type="dcterms:W3CDTF">2016-12-05T20:15:00Z</dcterms:modified>
</cp:coreProperties>
</file>