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</w:t>
      </w:r>
      <w:r w:rsidR="00A46CBF">
        <w:rPr>
          <w:rFonts w:ascii="Times New Roman" w:hAnsi="Times New Roman" w:cs="Times New Roman"/>
          <w:sz w:val="28"/>
        </w:rPr>
        <w:lastRenderedPageBreak/>
        <w:t>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</w:t>
      </w:r>
      <w:r w:rsidRPr="00477B76">
        <w:rPr>
          <w:rFonts w:ascii="Times New Roman" w:hAnsi="Times New Roman" w:cs="Times New Roman"/>
          <w:sz w:val="28"/>
        </w:rPr>
        <w:lastRenderedPageBreak/>
        <w:t>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 обладает достаточной гибкостью. 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некоторых языках программирования существуют такие сущности как интерфейсы</w:t>
      </w:r>
      <w:r>
        <w:rPr>
          <w:rFonts w:ascii="Times New Roman" w:hAnsi="Times New Roman" w:cs="Times New Roman"/>
          <w:sz w:val="28"/>
        </w:rPr>
        <w:t>, в которых нет реализаций, но есть описание полей и методов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 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Pr="00250C9B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065" w:rsidRPr="00016670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171065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152285"/>
    <w:rsid w:val="001638E4"/>
    <w:rsid w:val="00171065"/>
    <w:rsid w:val="0018099F"/>
    <w:rsid w:val="00187F59"/>
    <w:rsid w:val="00250C9B"/>
    <w:rsid w:val="00461622"/>
    <w:rsid w:val="00477B76"/>
    <w:rsid w:val="004855E3"/>
    <w:rsid w:val="007B085F"/>
    <w:rsid w:val="008B648F"/>
    <w:rsid w:val="009462AE"/>
    <w:rsid w:val="009C2523"/>
    <w:rsid w:val="00A46CBF"/>
    <w:rsid w:val="00C340F4"/>
    <w:rsid w:val="00C43ACB"/>
    <w:rsid w:val="00D213EA"/>
    <w:rsid w:val="00DB75F1"/>
    <w:rsid w:val="00EC7798"/>
    <w:rsid w:val="00F4087F"/>
    <w:rsid w:val="00F42E90"/>
    <w:rsid w:val="00F80796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2016-11-30T18:53:00Z</dcterms:created>
  <dcterms:modified xsi:type="dcterms:W3CDTF">2016-12-03T18:38:00Z</dcterms:modified>
</cp:coreProperties>
</file>