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358DD" w:rsidRPr="00160DE2" w:rsidRDefault="00C358DD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</w:t>
      </w:r>
      <w:r w:rsidR="007D6D06">
        <w:rPr>
          <w:rFonts w:ascii="Times New Roman" w:hAnsi="Times New Roman" w:cs="Times New Roman"/>
          <w:sz w:val="28"/>
        </w:rPr>
        <w:t xml:space="preserve"> является такой объект доступа к данным, чей интерфейс будет подобен коллекции. Данным критериям </w:t>
      </w:r>
      <w:proofErr w:type="spellStart"/>
      <w:r w:rsidR="007D6D06">
        <w:rPr>
          <w:rFonts w:ascii="Times New Roman" w:hAnsi="Times New Roman" w:cs="Times New Roman"/>
          <w:sz w:val="28"/>
        </w:rPr>
        <w:t>соответвует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такая </w:t>
      </w:r>
      <w:proofErr w:type="spellStart"/>
      <w:r w:rsidR="007D6D06">
        <w:rPr>
          <w:rFonts w:ascii="Times New Roman" w:hAnsi="Times New Roman" w:cs="Times New Roman"/>
          <w:sz w:val="28"/>
        </w:rPr>
        <w:t>разновиднасть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паттерна адаптер как «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Репозиторий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репозитория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 w:rsidR="007D6D06">
        <w:rPr>
          <w:rFonts w:ascii="Times New Roman" w:hAnsi="Times New Roman" w:cs="Times New Roman"/>
          <w:sz w:val="28"/>
          <w:lang w:val="en-US"/>
        </w:rPr>
        <w:t>Get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C1DB2">
        <w:rPr>
          <w:rFonts w:ascii="Times New Roman" w:hAnsi="Times New Roman" w:cs="Times New Roman"/>
          <w:sz w:val="28"/>
          <w:lang w:val="en-US"/>
        </w:rPr>
        <w:t>Inser</w:t>
      </w:r>
      <w:r w:rsidR="00DA14DB">
        <w:rPr>
          <w:rFonts w:ascii="Times New Roman" w:hAnsi="Times New Roman" w:cs="Times New Roman"/>
          <w:sz w:val="28"/>
          <w:lang w:val="en-US"/>
        </w:rPr>
        <w:t>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Delete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Update</w:t>
      </w:r>
      <w:r w:rsidR="00DA14DB" w:rsidRPr="00DA14DB">
        <w:rPr>
          <w:rFonts w:ascii="Times New Roman" w:hAnsi="Times New Roman" w:cs="Times New Roman"/>
          <w:sz w:val="28"/>
        </w:rPr>
        <w:t xml:space="preserve">. </w:t>
      </w:r>
      <w:r w:rsidR="00DA14DB"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 w:rsidR="00DA14DB">
        <w:rPr>
          <w:rFonts w:ascii="Times New Roman" w:hAnsi="Times New Roman" w:cs="Times New Roman"/>
          <w:sz w:val="28"/>
        </w:rPr>
        <w:t>репозитория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соответствует </w:t>
      </w:r>
      <w:r w:rsidR="00DA14DB">
        <w:rPr>
          <w:rFonts w:ascii="Times New Roman" w:hAnsi="Times New Roman" w:cs="Times New Roman"/>
          <w:sz w:val="28"/>
          <w:lang w:val="en-US"/>
        </w:rPr>
        <w:t>Target</w:t>
      </w:r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  <w:lang w:val="en-US"/>
        </w:rPr>
        <w:t>ORM</w:t>
      </w:r>
      <w:r w:rsidR="00DA14DB" w:rsidRPr="00DA14DB">
        <w:rPr>
          <w:rFonts w:ascii="Times New Roman" w:hAnsi="Times New Roman" w:cs="Times New Roman"/>
          <w:sz w:val="28"/>
        </w:rPr>
        <w:t>-</w:t>
      </w:r>
      <w:proofErr w:type="spellStart"/>
      <w:r w:rsidR="00DA14DB">
        <w:rPr>
          <w:rFonts w:ascii="Times New Roman" w:hAnsi="Times New Roman" w:cs="Times New Roman"/>
          <w:sz w:val="28"/>
        </w:rPr>
        <w:t>фреймворк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– </w:t>
      </w:r>
      <w:r w:rsidR="00DA14DB">
        <w:rPr>
          <w:rFonts w:ascii="Times New Roman" w:hAnsi="Times New Roman" w:cs="Times New Roman"/>
          <w:sz w:val="28"/>
          <w:lang w:val="en-US"/>
        </w:rPr>
        <w:t>Adapter</w:t>
      </w:r>
      <w:r w:rsidR="00DA14DB" w:rsidRPr="00160DE2">
        <w:rPr>
          <w:rFonts w:ascii="Times New Roman" w:hAnsi="Times New Roman" w:cs="Times New Roman"/>
          <w:sz w:val="28"/>
        </w:rPr>
        <w:t>.</w:t>
      </w:r>
      <w:r w:rsidR="00160DE2" w:rsidRPr="00160DE2">
        <w:rPr>
          <w:rFonts w:ascii="Times New Roman" w:hAnsi="Times New Roman" w:cs="Times New Roman"/>
          <w:sz w:val="28"/>
        </w:rPr>
        <w:t xml:space="preserve"> </w:t>
      </w:r>
      <w:r w:rsidR="00160DE2"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 w:rsidR="00160DE2">
        <w:rPr>
          <w:rFonts w:ascii="Times New Roman" w:hAnsi="Times New Roman" w:cs="Times New Roman"/>
          <w:sz w:val="28"/>
        </w:rPr>
        <w:t>репози</w:t>
      </w:r>
      <w:r w:rsidR="00A64697">
        <w:rPr>
          <w:rFonts w:ascii="Times New Roman" w:hAnsi="Times New Roman" w:cs="Times New Roman"/>
          <w:sz w:val="28"/>
        </w:rPr>
        <w:t>ториев</w:t>
      </w:r>
      <w:proofErr w:type="spellEnd"/>
      <w:r w:rsidR="00A64697">
        <w:rPr>
          <w:rFonts w:ascii="Times New Roman" w:hAnsi="Times New Roman" w:cs="Times New Roman"/>
          <w:sz w:val="28"/>
        </w:rPr>
        <w:t xml:space="preserve"> изображена на рисунке</w:t>
      </w:r>
      <w:r w:rsidR="00160DE2">
        <w:rPr>
          <w:rFonts w:ascii="Times New Roman" w:hAnsi="Times New Roman" w:cs="Times New Roman"/>
          <w:sz w:val="28"/>
          <w:lang w:val="en-US"/>
        </w:rPr>
        <w:t>.</w:t>
      </w:r>
    </w:p>
    <w:p w:rsidR="00C358DD" w:rsidRDefault="00DA14D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ABACDB" wp14:editId="23130E86">
            <wp:extent cx="4619625" cy="36313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46" cy="36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0" w:rsidRDefault="001C3FD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1C3FD0" w:rsidRDefault="006F034B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</w:t>
      </w:r>
      <w:r w:rsidR="001C3FD0">
        <w:rPr>
          <w:rFonts w:ascii="Times New Roman" w:hAnsi="Times New Roman" w:cs="Times New Roman"/>
          <w:sz w:val="28"/>
        </w:rPr>
        <w:t>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1C3FD0" w:rsidRDefault="001C3FD0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</w:t>
      </w:r>
      <w:r w:rsidR="006F034B">
        <w:rPr>
          <w:rFonts w:ascii="Times New Roman" w:hAnsi="Times New Roman" w:cs="Times New Roman"/>
          <w:sz w:val="28"/>
        </w:rPr>
        <w:t xml:space="preserve">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6F034B" w:rsidRPr="00043EE1" w:rsidRDefault="006F034B" w:rsidP="001C3FD0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</w:t>
      </w:r>
      <w:r w:rsidR="002617AD">
        <w:rPr>
          <w:rFonts w:ascii="Times New Roman" w:hAnsi="Times New Roman" w:cs="Times New Roman"/>
          <w:sz w:val="28"/>
        </w:rPr>
        <w:t xml:space="preserve">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 xml:space="preserve"> – </w:t>
      </w:r>
      <w:r w:rsidR="002617AD"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>-</w:t>
      </w:r>
      <w:r w:rsidR="002617AD">
        <w:rPr>
          <w:rFonts w:ascii="Times New Roman" w:hAnsi="Times New Roman" w:cs="Times New Roman"/>
          <w:sz w:val="28"/>
        </w:rPr>
        <w:t xml:space="preserve">выражения в </w:t>
      </w:r>
      <w:r w:rsidR="002617AD">
        <w:rPr>
          <w:rFonts w:ascii="Times New Roman" w:hAnsi="Times New Roman" w:cs="Times New Roman"/>
          <w:sz w:val="28"/>
          <w:lang w:val="en-US"/>
        </w:rPr>
        <w:t>SQL</w:t>
      </w:r>
      <w:r w:rsidR="002617AD" w:rsidRPr="002617AD">
        <w:rPr>
          <w:rFonts w:ascii="Times New Roman" w:hAnsi="Times New Roman" w:cs="Times New Roman"/>
          <w:sz w:val="28"/>
        </w:rPr>
        <w:t xml:space="preserve"> </w:t>
      </w:r>
      <w:r w:rsidR="002617AD">
        <w:rPr>
          <w:rFonts w:ascii="Times New Roman" w:hAnsi="Times New Roman" w:cs="Times New Roman"/>
          <w:sz w:val="28"/>
        </w:rPr>
        <w:t>код, однако</w:t>
      </w:r>
      <w:r w:rsidR="00043EE1">
        <w:rPr>
          <w:rFonts w:ascii="Times New Roman" w:hAnsi="Times New Roman" w:cs="Times New Roman"/>
          <w:sz w:val="28"/>
        </w:rPr>
        <w:t xml:space="preserve"> данный недостаток компенсируется кешированием.</w:t>
      </w: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43EE1"/>
    <w:rsid w:val="000E6D27"/>
    <w:rsid w:val="000F7182"/>
    <w:rsid w:val="00152285"/>
    <w:rsid w:val="00160DE2"/>
    <w:rsid w:val="001638E4"/>
    <w:rsid w:val="00171065"/>
    <w:rsid w:val="0018099F"/>
    <w:rsid w:val="00187F59"/>
    <w:rsid w:val="001915EB"/>
    <w:rsid w:val="001C3FD0"/>
    <w:rsid w:val="002216A2"/>
    <w:rsid w:val="00250C9B"/>
    <w:rsid w:val="002617AD"/>
    <w:rsid w:val="00372A46"/>
    <w:rsid w:val="00461622"/>
    <w:rsid w:val="00477B76"/>
    <w:rsid w:val="004855E3"/>
    <w:rsid w:val="004B19ED"/>
    <w:rsid w:val="006F034B"/>
    <w:rsid w:val="007B085F"/>
    <w:rsid w:val="007C1DB2"/>
    <w:rsid w:val="007D6D06"/>
    <w:rsid w:val="008B648F"/>
    <w:rsid w:val="009003C1"/>
    <w:rsid w:val="009462AE"/>
    <w:rsid w:val="009C2523"/>
    <w:rsid w:val="00A46CBF"/>
    <w:rsid w:val="00A57752"/>
    <w:rsid w:val="00A64697"/>
    <w:rsid w:val="00B03BA5"/>
    <w:rsid w:val="00B172CB"/>
    <w:rsid w:val="00B70F5E"/>
    <w:rsid w:val="00C340F4"/>
    <w:rsid w:val="00C358DD"/>
    <w:rsid w:val="00C43ACB"/>
    <w:rsid w:val="00D213EA"/>
    <w:rsid w:val="00DA14DB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12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13</cp:revision>
  <dcterms:created xsi:type="dcterms:W3CDTF">2016-11-30T18:53:00Z</dcterms:created>
  <dcterms:modified xsi:type="dcterms:W3CDTF">2016-12-09T19:33:00Z</dcterms:modified>
</cp:coreProperties>
</file>