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A57752" w:rsidRPr="00CD6A4B" w:rsidRDefault="00477B76" w:rsidP="004208A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358DD" w:rsidRPr="00160DE2" w:rsidRDefault="00C358DD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</w:t>
      </w:r>
      <w:r w:rsidR="007D6D06">
        <w:rPr>
          <w:rFonts w:ascii="Times New Roman" w:hAnsi="Times New Roman" w:cs="Times New Roman"/>
          <w:sz w:val="28"/>
        </w:rPr>
        <w:t xml:space="preserve"> является такой объект доступа к данным, чей интерфейс будет подобен коллекции. Данным критериям </w:t>
      </w:r>
      <w:r w:rsidR="004208A4">
        <w:rPr>
          <w:rFonts w:ascii="Times New Roman" w:hAnsi="Times New Roman" w:cs="Times New Roman"/>
          <w:sz w:val="28"/>
        </w:rPr>
        <w:t>соответствует</w:t>
      </w:r>
      <w:r w:rsidR="007D6D06">
        <w:rPr>
          <w:rFonts w:ascii="Times New Roman" w:hAnsi="Times New Roman" w:cs="Times New Roman"/>
          <w:sz w:val="28"/>
        </w:rPr>
        <w:t xml:space="preserve"> такая </w:t>
      </w:r>
      <w:r w:rsidR="004208A4">
        <w:rPr>
          <w:rFonts w:ascii="Times New Roman" w:hAnsi="Times New Roman" w:cs="Times New Roman"/>
          <w:sz w:val="28"/>
        </w:rPr>
        <w:t>разновидность</w:t>
      </w:r>
      <w:r w:rsidR="007D6D06">
        <w:rPr>
          <w:rFonts w:ascii="Times New Roman" w:hAnsi="Times New Roman" w:cs="Times New Roman"/>
          <w:sz w:val="28"/>
        </w:rPr>
        <w:t xml:space="preserve"> паттерна адаптер как «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Репозиторий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репозитория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 w:rsidR="007D6D06">
        <w:rPr>
          <w:rFonts w:ascii="Times New Roman" w:hAnsi="Times New Roman" w:cs="Times New Roman"/>
          <w:sz w:val="28"/>
          <w:lang w:val="en-US"/>
        </w:rPr>
        <w:t>Get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C1DB2">
        <w:rPr>
          <w:rFonts w:ascii="Times New Roman" w:hAnsi="Times New Roman" w:cs="Times New Roman"/>
          <w:sz w:val="28"/>
          <w:lang w:val="en-US"/>
        </w:rPr>
        <w:t>Inser</w:t>
      </w:r>
      <w:r w:rsidR="00DA14DB">
        <w:rPr>
          <w:rFonts w:ascii="Times New Roman" w:hAnsi="Times New Roman" w:cs="Times New Roman"/>
          <w:sz w:val="28"/>
          <w:lang w:val="en-US"/>
        </w:rPr>
        <w:t>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Delete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Update</w:t>
      </w:r>
      <w:r w:rsidR="00DA14DB" w:rsidRPr="00DA14DB">
        <w:rPr>
          <w:rFonts w:ascii="Times New Roman" w:hAnsi="Times New Roman" w:cs="Times New Roman"/>
          <w:sz w:val="28"/>
        </w:rPr>
        <w:t xml:space="preserve">. </w:t>
      </w:r>
      <w:r w:rsidR="00DA14DB"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 w:rsidR="00DA14DB">
        <w:rPr>
          <w:rFonts w:ascii="Times New Roman" w:hAnsi="Times New Roman" w:cs="Times New Roman"/>
          <w:sz w:val="28"/>
        </w:rPr>
        <w:t>репозитория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соответствует </w:t>
      </w:r>
      <w:r w:rsidR="00DA14DB">
        <w:rPr>
          <w:rFonts w:ascii="Times New Roman" w:hAnsi="Times New Roman" w:cs="Times New Roman"/>
          <w:sz w:val="28"/>
          <w:lang w:val="en-US"/>
        </w:rPr>
        <w:t>Target</w:t>
      </w:r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  <w:lang w:val="en-US"/>
        </w:rPr>
        <w:t>ORM</w:t>
      </w:r>
      <w:r w:rsidR="00DA14DB" w:rsidRPr="00DA14DB">
        <w:rPr>
          <w:rFonts w:ascii="Times New Roman" w:hAnsi="Times New Roman" w:cs="Times New Roman"/>
          <w:sz w:val="28"/>
        </w:rPr>
        <w:t>-</w:t>
      </w:r>
      <w:proofErr w:type="spellStart"/>
      <w:r w:rsidR="00DA14DB">
        <w:rPr>
          <w:rFonts w:ascii="Times New Roman" w:hAnsi="Times New Roman" w:cs="Times New Roman"/>
          <w:sz w:val="28"/>
        </w:rPr>
        <w:t>фреймворк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– </w:t>
      </w:r>
      <w:r w:rsidR="00DA14DB">
        <w:rPr>
          <w:rFonts w:ascii="Times New Roman" w:hAnsi="Times New Roman" w:cs="Times New Roman"/>
          <w:sz w:val="28"/>
          <w:lang w:val="en-US"/>
        </w:rPr>
        <w:t>Adapter</w:t>
      </w:r>
      <w:r w:rsidR="00DA14DB" w:rsidRPr="00160DE2">
        <w:rPr>
          <w:rFonts w:ascii="Times New Roman" w:hAnsi="Times New Roman" w:cs="Times New Roman"/>
          <w:sz w:val="28"/>
        </w:rPr>
        <w:t>.</w:t>
      </w:r>
      <w:r w:rsidR="00160DE2" w:rsidRPr="00160DE2">
        <w:rPr>
          <w:rFonts w:ascii="Times New Roman" w:hAnsi="Times New Roman" w:cs="Times New Roman"/>
          <w:sz w:val="28"/>
        </w:rPr>
        <w:t xml:space="preserve"> </w:t>
      </w:r>
      <w:r w:rsidR="00160DE2"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 w:rsidR="00160DE2">
        <w:rPr>
          <w:rFonts w:ascii="Times New Roman" w:hAnsi="Times New Roman" w:cs="Times New Roman"/>
          <w:sz w:val="28"/>
        </w:rPr>
        <w:t>репози</w:t>
      </w:r>
      <w:r w:rsidR="00A64697">
        <w:rPr>
          <w:rFonts w:ascii="Times New Roman" w:hAnsi="Times New Roman" w:cs="Times New Roman"/>
          <w:sz w:val="28"/>
        </w:rPr>
        <w:t>ториев</w:t>
      </w:r>
      <w:proofErr w:type="spellEnd"/>
      <w:r w:rsidR="00A64697">
        <w:rPr>
          <w:rFonts w:ascii="Times New Roman" w:hAnsi="Times New Roman" w:cs="Times New Roman"/>
          <w:sz w:val="28"/>
        </w:rPr>
        <w:t xml:space="preserve"> изображена на рисунке</w:t>
      </w:r>
      <w:r w:rsidR="00160DE2">
        <w:rPr>
          <w:rFonts w:ascii="Times New Roman" w:hAnsi="Times New Roman" w:cs="Times New Roman"/>
          <w:sz w:val="28"/>
          <w:lang w:val="en-US"/>
        </w:rPr>
        <w:t>.</w:t>
      </w:r>
    </w:p>
    <w:p w:rsidR="00C358DD" w:rsidRDefault="00DA14D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ABACDB" wp14:editId="23130E86">
            <wp:extent cx="4619625" cy="36313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46" cy="36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0" w:rsidRDefault="001C3FD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1C3FD0" w:rsidRDefault="006F034B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</w:t>
      </w:r>
      <w:r w:rsidR="001C3FD0">
        <w:rPr>
          <w:rFonts w:ascii="Times New Roman" w:hAnsi="Times New Roman" w:cs="Times New Roman"/>
          <w:sz w:val="28"/>
        </w:rPr>
        <w:t>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1C3FD0" w:rsidRDefault="001C3FD0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</w:t>
      </w:r>
      <w:r w:rsidR="006F034B">
        <w:rPr>
          <w:rFonts w:ascii="Times New Roman" w:hAnsi="Times New Roman" w:cs="Times New Roman"/>
          <w:sz w:val="28"/>
        </w:rPr>
        <w:t xml:space="preserve">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6F034B" w:rsidRDefault="006F034B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</w:t>
      </w:r>
      <w:r w:rsidR="002617AD">
        <w:rPr>
          <w:rFonts w:ascii="Times New Roman" w:hAnsi="Times New Roman" w:cs="Times New Roman"/>
          <w:sz w:val="28"/>
        </w:rPr>
        <w:t xml:space="preserve">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 xml:space="preserve"> – </w:t>
      </w:r>
      <w:r w:rsidR="002617AD"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>-</w:t>
      </w:r>
      <w:r w:rsidR="002617AD">
        <w:rPr>
          <w:rFonts w:ascii="Times New Roman" w:hAnsi="Times New Roman" w:cs="Times New Roman"/>
          <w:sz w:val="28"/>
        </w:rPr>
        <w:t xml:space="preserve">выражения в </w:t>
      </w:r>
      <w:r w:rsidR="002617AD">
        <w:rPr>
          <w:rFonts w:ascii="Times New Roman" w:hAnsi="Times New Roman" w:cs="Times New Roman"/>
          <w:sz w:val="28"/>
          <w:lang w:val="en-US"/>
        </w:rPr>
        <w:t>SQL</w:t>
      </w:r>
      <w:r w:rsidR="002617AD" w:rsidRPr="002617AD">
        <w:rPr>
          <w:rFonts w:ascii="Times New Roman" w:hAnsi="Times New Roman" w:cs="Times New Roman"/>
          <w:sz w:val="28"/>
        </w:rPr>
        <w:t xml:space="preserve"> </w:t>
      </w:r>
      <w:r w:rsidR="002617AD">
        <w:rPr>
          <w:rFonts w:ascii="Times New Roman" w:hAnsi="Times New Roman" w:cs="Times New Roman"/>
          <w:sz w:val="28"/>
        </w:rPr>
        <w:t>код, однако</w:t>
      </w:r>
      <w:r w:rsidR="00043EE1">
        <w:rPr>
          <w:rFonts w:ascii="Times New Roman" w:hAnsi="Times New Roman" w:cs="Times New Roman"/>
          <w:sz w:val="28"/>
        </w:rPr>
        <w:t xml:space="preserve"> данный недостаток компенсируется кешированием.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Строить запросы необходимо на уровне слоя доступа к серверу баз данных, это его основная функциональность. При этом должна быть возможность написать такой запрос на уровне сервисов (для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перекомпиляции уровня доступа к данным, при написании тестового когда и кода имитирующего работу не реализованного сервиса или прототипа).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23A53">
        <w:rPr>
          <w:rFonts w:ascii="Times New Roman" w:hAnsi="Times New Roman" w:cs="Times New Roman"/>
          <w:sz w:val="28"/>
        </w:rPr>
        <w:t xml:space="preserve">Решение четвёртой проблемы осложняется тем, что при решение первой проблемы количество точек входа в систему было ограничено двумя, это значит, что все запросы можно разделить не более чем на две группы с различными интерфейсами. При этом запросы первой группы должны возвращать объект не являющийся коллекцией элементов, а запросы второй группы возвращают коллекцию элементов, при этом стоит учесть, что объект со значение </w:t>
      </w:r>
      <w:r w:rsidR="00423A53">
        <w:rPr>
          <w:rFonts w:ascii="Times New Roman" w:hAnsi="Times New Roman" w:cs="Times New Roman"/>
          <w:sz w:val="28"/>
          <w:lang w:val="en-US"/>
        </w:rPr>
        <w:t>null</w:t>
      </w:r>
      <w:r w:rsidR="00423A53">
        <w:rPr>
          <w:rFonts w:ascii="Times New Roman" w:hAnsi="Times New Roman" w:cs="Times New Roman"/>
          <w:sz w:val="28"/>
        </w:rPr>
        <w:t xml:space="preserve"> это всё равно корректный объект, пустая коллекция и коллекция с одним элементом – также корректные результаты выполнения запроса, а вот получение </w:t>
      </w:r>
      <w:r w:rsidR="00A7279A">
        <w:rPr>
          <w:rFonts w:ascii="Times New Roman" w:hAnsi="Times New Roman" w:cs="Times New Roman"/>
          <w:sz w:val="28"/>
        </w:rPr>
        <w:t>от сервера баз данных коллекции вместо одного объекта является ошибкой целостности данных и ведёт к возникновению исключительной ситуации во время выполнения программы.</w:t>
      </w:r>
    </w:p>
    <w:p w:rsidR="00903BB1" w:rsidRDefault="00903BB1" w:rsidP="00903BB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необходимо иметь механизм позволяющий определить семейство взаимозаменяемых алгоритмов с разным поведением. Исходя из данного определения составленного на основе требований к архитектуре можно применить паттерн проектирования «Стратегия».</w:t>
      </w:r>
    </w:p>
    <w:p w:rsidR="00903BB1" w:rsidRDefault="00903BB1" w:rsidP="00903BB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162425" cy="1562100"/>
            <wp:effectExtent l="0" t="0" r="9525" b="0"/>
            <wp:docPr id="14" name="Рисунок 14" descr="http://sheremetov.com/wp-content/uploads/2010/05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remetov.com/wp-content/uploads/2010/05/strateg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B1" w:rsidRDefault="00903BB1" w:rsidP="00903BB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</w:t>
      </w:r>
    </w:p>
    <w:p w:rsidR="00903BB1" w:rsidRDefault="00903BB1" w:rsidP="00903B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Участники:</w:t>
      </w:r>
    </w:p>
    <w:p w:rsidR="00903BB1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Strategy</w:t>
      </w:r>
      <w:r w:rsidRPr="00903BB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03BB1">
        <w:rPr>
          <w:rFonts w:ascii="Times New Roman" w:hAnsi="Times New Roman" w:cs="Times New Roman"/>
          <w:sz w:val="28"/>
        </w:rPr>
        <w:t>стратегия, общий для</w:t>
      </w:r>
      <w:r>
        <w:rPr>
          <w:rFonts w:ascii="Times New Roman" w:hAnsi="Times New Roman" w:cs="Times New Roman"/>
          <w:sz w:val="28"/>
        </w:rPr>
        <w:t xml:space="preserve"> всех поддерживаемых алгоритмов интерфейс.</w:t>
      </w:r>
      <w:r w:rsidRPr="00903B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Экземпляр класса 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 xml:space="preserve"> использует этот интерфейс для вызова конкретного метода определённого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ConcreteStratege</w:t>
      </w:r>
      <w:proofErr w:type="spellEnd"/>
      <w:r w:rsidRPr="00903BB1">
        <w:rPr>
          <w:rFonts w:ascii="Times New Roman" w:hAnsi="Times New Roman" w:cs="Times New Roman"/>
          <w:sz w:val="28"/>
        </w:rPr>
        <w:t>.</w:t>
      </w:r>
    </w:p>
    <w:p w:rsidR="00071FB3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 w:rsidRPr="00071FB3">
        <w:rPr>
          <w:rFonts w:ascii="Times New Roman" w:hAnsi="Times New Roman" w:cs="Times New Roman"/>
          <w:sz w:val="28"/>
        </w:rPr>
        <w:t xml:space="preserve"> </w:t>
      </w:r>
      <w:r w:rsidR="00071FB3" w:rsidRPr="00071FB3">
        <w:rPr>
          <w:rFonts w:ascii="Times New Roman" w:hAnsi="Times New Roman" w:cs="Times New Roman"/>
          <w:sz w:val="28"/>
        </w:rPr>
        <w:t>–</w:t>
      </w:r>
      <w:r w:rsidRPr="00071FB3">
        <w:rPr>
          <w:rFonts w:ascii="Times New Roman" w:hAnsi="Times New Roman" w:cs="Times New Roman"/>
          <w:sz w:val="28"/>
        </w:rPr>
        <w:t xml:space="preserve"> </w:t>
      </w:r>
      <w:r w:rsidR="00071FB3">
        <w:rPr>
          <w:rFonts w:ascii="Times New Roman" w:hAnsi="Times New Roman" w:cs="Times New Roman"/>
          <w:sz w:val="28"/>
        </w:rPr>
        <w:t xml:space="preserve">конкретная стратегия, реализующая алгоритм и предоставляющая к нему доступ через интерфейс объявленный в классе </w:t>
      </w:r>
      <w:r w:rsidR="00071FB3">
        <w:rPr>
          <w:rFonts w:ascii="Times New Roman" w:hAnsi="Times New Roman" w:cs="Times New Roman"/>
          <w:sz w:val="28"/>
          <w:lang w:val="en-US"/>
        </w:rPr>
        <w:t>Strategy</w:t>
      </w:r>
      <w:r w:rsidR="00071FB3" w:rsidRPr="00071FB3">
        <w:rPr>
          <w:rFonts w:ascii="Times New Roman" w:hAnsi="Times New Roman" w:cs="Times New Roman"/>
          <w:sz w:val="28"/>
        </w:rPr>
        <w:t>.</w:t>
      </w:r>
    </w:p>
    <w:p w:rsidR="000813C6" w:rsidRDefault="00071FB3" w:rsidP="000813C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Context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контекст, использует алгоритм, реализованный в классе</w:t>
      </w:r>
      <w:r w:rsidR="00903BB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>
        <w:rPr>
          <w:rFonts w:ascii="Times New Roman" w:hAnsi="Times New Roman" w:cs="Times New Roman"/>
          <w:sz w:val="28"/>
        </w:rPr>
        <w:t xml:space="preserve"> через интерфейс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0813C6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13C6">
        <w:rPr>
          <w:rFonts w:ascii="Times New Roman" w:hAnsi="Times New Roman" w:cs="Times New Roman"/>
          <w:sz w:val="28"/>
        </w:rPr>
        <w:t>Типизированная стратегия также позволит решить пятую проблему: частью алгоритма построения</w:t>
      </w:r>
      <w:r>
        <w:rPr>
          <w:rFonts w:ascii="Times New Roman" w:hAnsi="Times New Roman" w:cs="Times New Roman"/>
          <w:sz w:val="28"/>
        </w:rPr>
        <w:t xml:space="preserve"> запроса является операция </w:t>
      </w:r>
      <w:r>
        <w:rPr>
          <w:rFonts w:ascii="Times New Roman" w:hAnsi="Times New Roman" w:cs="Times New Roman"/>
          <w:sz w:val="28"/>
          <w:lang w:val="en-US"/>
        </w:rPr>
        <w:t>Select</w:t>
      </w:r>
      <w:r>
        <w:rPr>
          <w:rFonts w:ascii="Times New Roman" w:hAnsi="Times New Roman" w:cs="Times New Roman"/>
          <w:sz w:val="28"/>
        </w:rPr>
        <w:t>, которая при создании объекта требуемого класса запросит значения только нужных полей из таблицы в базе данных</w:t>
      </w:r>
      <w:r w:rsidRPr="000813C6">
        <w:rPr>
          <w:rFonts w:ascii="Times New Roman" w:hAnsi="Times New Roman" w:cs="Times New Roman"/>
          <w:sz w:val="28"/>
        </w:rPr>
        <w:t>.</w:t>
      </w:r>
    </w:p>
    <w:p w:rsidR="000813C6" w:rsidRPr="000813C6" w:rsidRDefault="000813C6" w:rsidP="000813C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Архитектура клиентского приложения. Визуализация данных.</w:t>
      </w:r>
      <w:r w:rsidRPr="000813C6">
        <w:t xml:space="preserve"> </w:t>
      </w:r>
    </w:p>
    <w:p w:rsidR="000813C6" w:rsidRPr="000813C6" w:rsidRDefault="000813C6" w:rsidP="000813C6">
      <w:pPr>
        <w:ind w:firstLine="708"/>
        <w:jc w:val="both"/>
      </w:pPr>
      <w:bookmarkStart w:id="0" w:name="_GoBack"/>
      <w:r>
        <w:rPr>
          <w:rFonts w:ascii="Times New Roman" w:hAnsi="Times New Roman" w:cs="Times New Roman"/>
          <w:sz w:val="28"/>
        </w:rPr>
        <w:t xml:space="preserve">Архитектура клиентского приложения должна быть построена таким образом, чтобы обеспечить наиболее удобный подход к написанию бизнес-логики и при этом уменьшить количество технического кода не связанного с предметной областью, к такому коду относится функционал по манипуляции с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>-деревом, отслеживание состояния приложение, низкоуровневый контроль за выполнением асинхронных запросов.</w:t>
      </w:r>
      <w:r w:rsidRPr="000813C6">
        <w:t xml:space="preserve"> </w:t>
      </w:r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любого приложения есть некоторое состояние, от которого зависит набор и вид отображаемых компонентов. Состояние может быть двух типов: изменяемое и неизменяемое. С первым типом всё понятно: состояние компонента изменяется и в ответ на это изменяется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-дерево. Второй же подход к работе с состоянием является неочевидным. Возникает вопрос: как изменяется вид компонентов если состояние неизменно? Вид компонента изменяется из-за того, что состояние становится новым, то есть изменяется не значение, которое хранится по ссылке, а сама ссылка. Этот подход более эффективен, так как проще отслеживать изменения. Если мы имеем дело с изменением значений переменных, то чтобы отследить изменения необходимо иметь в памяти копию всего состояния и сравнивать каждое значение. Если отслеживать только изменение ссылок, то в памяти достаточно хранить только набор ссылок в древовидном виде, что уменьшает количество объектов для сравнения и делает сложность поиска изменений логарифмической, поэтому в процессе разработки будет использован второй подход. </w:t>
      </w:r>
    </w:p>
    <w:p w:rsidR="0087397D" w:rsidRPr="0092506E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Центром всего приложения является пользовательский интерфейс (</w:t>
      </w:r>
      <w:r>
        <w:rPr>
          <w:rFonts w:ascii="Times New Roman" w:hAnsi="Times New Roman" w:cs="Times New Roman"/>
          <w:sz w:val="28"/>
          <w:lang w:val="en-US"/>
        </w:rPr>
        <w:t>View</w:t>
      </w:r>
      <w:r>
        <w:rPr>
          <w:rFonts w:ascii="Times New Roman" w:hAnsi="Times New Roman" w:cs="Times New Roman"/>
          <w:sz w:val="28"/>
        </w:rPr>
        <w:t xml:space="preserve">), с которым взаимодействует пользователь. Пользовательский интерфейс формируется на основе данных, размещённых в контейнере состояния. Взаимодействие пользователя с интерфейсом приводит в действие </w:t>
      </w:r>
      <w:r>
        <w:rPr>
          <w:rFonts w:ascii="Times New Roman" w:hAnsi="Times New Roman" w:cs="Times New Roman"/>
          <w:sz w:val="28"/>
          <w:lang w:val="en-US"/>
        </w:rPr>
        <w:t>Dispatcher</w:t>
      </w:r>
      <w:r>
        <w:rPr>
          <w:rFonts w:ascii="Times New Roman" w:hAnsi="Times New Roman" w:cs="Times New Roman"/>
          <w:sz w:val="28"/>
        </w:rPr>
        <w:t xml:space="preserve">, который формирует объект </w:t>
      </w:r>
      <w:r>
        <w:rPr>
          <w:rFonts w:ascii="Times New Roman" w:hAnsi="Times New Roman" w:cs="Times New Roman"/>
          <w:sz w:val="28"/>
          <w:lang w:val="en-US"/>
        </w:rPr>
        <w:t>Action</w:t>
      </w:r>
      <w:r>
        <w:rPr>
          <w:rFonts w:ascii="Times New Roman" w:hAnsi="Times New Roman" w:cs="Times New Roman"/>
          <w:sz w:val="28"/>
        </w:rPr>
        <w:t xml:space="preserve">, содержащий информацию о действии пользователя. Обработчик событий </w:t>
      </w:r>
      <w:r w:rsidRPr="009250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Reducer</w:t>
      </w:r>
      <w:r w:rsidRPr="009250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генерирует новое состояние либо возвращает старое неизменённое состояние в зависимости от алгоритма обработки события и предыдущего состояния. Новое состояние попадает в хранилище, тем самым завершает циклическое движение данных. </w:t>
      </w:r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87397D" w:rsidP="0087397D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CB2EF9" wp14:editId="55D6005D">
            <wp:extent cx="5730835" cy="3095625"/>
            <wp:effectExtent l="0" t="0" r="3810" b="0"/>
            <wp:docPr id="15" name="Рисунок 15" descr="http://www.ibm.com/developerworks/library/wa-manage-state-with-redux-p1-david-geary/dis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library/wa-manage-state-with-redux-p1-david-geary/disp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5731510" cy="30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bookmarkEnd w:id="0"/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CD6A4B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07442" cy="54470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05" cy="545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81F89"/>
    <w:multiLevelType w:val="hybridMultilevel"/>
    <w:tmpl w:val="3C66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43EE1"/>
    <w:rsid w:val="00071FB3"/>
    <w:rsid w:val="000813C6"/>
    <w:rsid w:val="000E6D27"/>
    <w:rsid w:val="000F7182"/>
    <w:rsid w:val="00152285"/>
    <w:rsid w:val="00160DE2"/>
    <w:rsid w:val="001638E4"/>
    <w:rsid w:val="00171065"/>
    <w:rsid w:val="0018099F"/>
    <w:rsid w:val="00187F59"/>
    <w:rsid w:val="001915EB"/>
    <w:rsid w:val="001C3FD0"/>
    <w:rsid w:val="002216A2"/>
    <w:rsid w:val="00250C9B"/>
    <w:rsid w:val="002617AD"/>
    <w:rsid w:val="00372A46"/>
    <w:rsid w:val="004208A4"/>
    <w:rsid w:val="00423A53"/>
    <w:rsid w:val="00461622"/>
    <w:rsid w:val="00477B76"/>
    <w:rsid w:val="004855E3"/>
    <w:rsid w:val="004B19ED"/>
    <w:rsid w:val="006F034B"/>
    <w:rsid w:val="007B085F"/>
    <w:rsid w:val="007C1DB2"/>
    <w:rsid w:val="007D6D06"/>
    <w:rsid w:val="0087397D"/>
    <w:rsid w:val="008B648F"/>
    <w:rsid w:val="009003C1"/>
    <w:rsid w:val="009017B0"/>
    <w:rsid w:val="00903BB1"/>
    <w:rsid w:val="0092506E"/>
    <w:rsid w:val="009462AE"/>
    <w:rsid w:val="009A3FAA"/>
    <w:rsid w:val="009C2523"/>
    <w:rsid w:val="00A46CBF"/>
    <w:rsid w:val="00A57752"/>
    <w:rsid w:val="00A64697"/>
    <w:rsid w:val="00A7279A"/>
    <w:rsid w:val="00B03BA5"/>
    <w:rsid w:val="00B172CB"/>
    <w:rsid w:val="00B7036B"/>
    <w:rsid w:val="00B70F5E"/>
    <w:rsid w:val="00C340F4"/>
    <w:rsid w:val="00C358DD"/>
    <w:rsid w:val="00C43ACB"/>
    <w:rsid w:val="00C6397C"/>
    <w:rsid w:val="00CD6A4B"/>
    <w:rsid w:val="00D213EA"/>
    <w:rsid w:val="00DA14DB"/>
    <w:rsid w:val="00DB75F1"/>
    <w:rsid w:val="00EC7798"/>
    <w:rsid w:val="00F4087F"/>
    <w:rsid w:val="00F42E90"/>
    <w:rsid w:val="00F512B5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15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16</cp:revision>
  <dcterms:created xsi:type="dcterms:W3CDTF">2016-11-30T18:53:00Z</dcterms:created>
  <dcterms:modified xsi:type="dcterms:W3CDTF">2016-12-11T15:40:00Z</dcterms:modified>
</cp:coreProperties>
</file>