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1" w:rightFromText="181" w:horzAnchor="margin" w:tblpXSpec="center" w:tblpYSpec="top"/>
        <w:tblW w:w="0" w:type="auto"/>
        <w:tblLook w:val="04A0" w:firstRow="1" w:lastRow="0" w:firstColumn="1" w:lastColumn="0" w:noHBand="0" w:noVBand="1"/>
      </w:tblPr>
      <w:tblGrid>
        <w:gridCol w:w="489"/>
        <w:gridCol w:w="1085"/>
        <w:gridCol w:w="1253"/>
        <w:gridCol w:w="906"/>
        <w:gridCol w:w="746"/>
        <w:gridCol w:w="746"/>
        <w:gridCol w:w="1250"/>
        <w:gridCol w:w="1261"/>
        <w:gridCol w:w="647"/>
        <w:gridCol w:w="633"/>
      </w:tblGrid>
      <w:tr w:rsidR="009F5F6E" w:rsidRPr="00C5615E" w14:paraId="644926F2" w14:textId="77777777" w:rsidTr="00C5615E">
        <w:trPr>
          <w:trHeight w:val="983"/>
        </w:trPr>
        <w:tc>
          <w:tcPr>
            <w:tcW w:w="0" w:type="auto"/>
            <w:shd w:val="clear" w:color="auto" w:fill="002060"/>
          </w:tcPr>
          <w:p w14:paraId="0F09B588" w14:textId="03E8C72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Risk ID</w:t>
            </w:r>
          </w:p>
        </w:tc>
        <w:tc>
          <w:tcPr>
            <w:tcW w:w="0" w:type="auto"/>
            <w:shd w:val="clear" w:color="auto" w:fill="002060"/>
          </w:tcPr>
          <w:p w14:paraId="0285CB2C" w14:textId="2751CFBC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Description</w:t>
            </w:r>
          </w:p>
        </w:tc>
        <w:tc>
          <w:tcPr>
            <w:tcW w:w="0" w:type="auto"/>
            <w:shd w:val="clear" w:color="auto" w:fill="002060"/>
          </w:tcPr>
          <w:p w14:paraId="1D87BC52" w14:textId="414410D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Cause</w:t>
            </w:r>
          </w:p>
        </w:tc>
        <w:tc>
          <w:tcPr>
            <w:tcW w:w="0" w:type="auto"/>
            <w:shd w:val="clear" w:color="auto" w:fill="002060"/>
          </w:tcPr>
          <w:p w14:paraId="61D00344" w14:textId="6F9E0DE3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Probability</w:t>
            </w:r>
          </w:p>
        </w:tc>
        <w:tc>
          <w:tcPr>
            <w:tcW w:w="0" w:type="auto"/>
            <w:shd w:val="clear" w:color="auto" w:fill="002060"/>
          </w:tcPr>
          <w:p w14:paraId="041A2EF6" w14:textId="35C5E6BC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Impact</w:t>
            </w:r>
          </w:p>
        </w:tc>
        <w:tc>
          <w:tcPr>
            <w:tcW w:w="0" w:type="auto"/>
            <w:shd w:val="clear" w:color="auto" w:fill="002060"/>
          </w:tcPr>
          <w:p w14:paraId="7B884305" w14:textId="5CD9F7EB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Priority</w:t>
            </w:r>
          </w:p>
        </w:tc>
        <w:tc>
          <w:tcPr>
            <w:tcW w:w="0" w:type="auto"/>
            <w:shd w:val="clear" w:color="auto" w:fill="002060"/>
          </w:tcPr>
          <w:p w14:paraId="358004BD" w14:textId="65C6ED49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Mitigation Strategy</w:t>
            </w:r>
          </w:p>
        </w:tc>
        <w:tc>
          <w:tcPr>
            <w:tcW w:w="0" w:type="auto"/>
            <w:shd w:val="clear" w:color="auto" w:fill="002060"/>
          </w:tcPr>
          <w:p w14:paraId="0B428C1F" w14:textId="3743118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Contingency Plan</w:t>
            </w:r>
          </w:p>
        </w:tc>
        <w:tc>
          <w:tcPr>
            <w:tcW w:w="0" w:type="auto"/>
            <w:shd w:val="clear" w:color="auto" w:fill="002060"/>
          </w:tcPr>
          <w:p w14:paraId="627C9FB6" w14:textId="77AADF72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Owner</w:t>
            </w:r>
          </w:p>
        </w:tc>
        <w:tc>
          <w:tcPr>
            <w:tcW w:w="0" w:type="auto"/>
            <w:shd w:val="clear" w:color="auto" w:fill="002060"/>
          </w:tcPr>
          <w:p w14:paraId="72528F1C" w14:textId="561E4652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Status</w:t>
            </w:r>
          </w:p>
        </w:tc>
      </w:tr>
      <w:tr w:rsidR="009F5F6E" w:rsidRPr="00C5615E" w14:paraId="75540C56" w14:textId="77777777" w:rsidTr="00C5615E">
        <w:tc>
          <w:tcPr>
            <w:tcW w:w="0" w:type="auto"/>
          </w:tcPr>
          <w:p w14:paraId="656802D4" w14:textId="32C68D6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R01</w:t>
            </w:r>
          </w:p>
        </w:tc>
        <w:tc>
          <w:tcPr>
            <w:tcW w:w="0" w:type="auto"/>
          </w:tcPr>
          <w:p w14:paraId="624174F3" w14:textId="28540D3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Failure to enforce role-based access, allowing requesters or staff to view unauthorized oversight information.</w:t>
            </w:r>
          </w:p>
        </w:tc>
        <w:tc>
          <w:tcPr>
            <w:tcW w:w="0" w:type="auto"/>
          </w:tcPr>
          <w:p w14:paraId="551424F9" w14:textId="59612F83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NFR-005 mandates strict jurisdiction visibility, which is complex to secure during early architectural phases.</w:t>
            </w:r>
          </w:p>
        </w:tc>
        <w:tc>
          <w:tcPr>
            <w:tcW w:w="0" w:type="auto"/>
          </w:tcPr>
          <w:p w14:paraId="04308ABD" w14:textId="7B505D31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55471CD2" w14:textId="46733CA9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24298BEB" w14:textId="75BBBE42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68E971DD" w14:textId="092AAD6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Define strict authorization boundaries and route protection in Milestone 2 architecture planning.</w:t>
            </w:r>
          </w:p>
        </w:tc>
        <w:tc>
          <w:tcPr>
            <w:tcW w:w="0" w:type="auto"/>
          </w:tcPr>
          <w:p w14:paraId="5EC20DAA" w14:textId="6F8EC047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Restrict system access entirely until authorization boundaries are verified.</w:t>
            </w:r>
          </w:p>
        </w:tc>
        <w:tc>
          <w:tcPr>
            <w:tcW w:w="0" w:type="auto"/>
          </w:tcPr>
          <w:p w14:paraId="68FB84BA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082E5A8A" w14:textId="620806D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31449606" w14:textId="77777777" w:rsidTr="00C5615E">
        <w:tc>
          <w:tcPr>
            <w:tcW w:w="0" w:type="auto"/>
          </w:tcPr>
          <w:p w14:paraId="346A45E4" w14:textId="68E0D00E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R02</w:t>
            </w:r>
          </w:p>
        </w:tc>
        <w:tc>
          <w:tcPr>
            <w:tcW w:w="0" w:type="auto"/>
          </w:tcPr>
          <w:p w14:paraId="6C07FF09" w14:textId="6CAE6511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Password hashing fails or user credentials become exposed.</w:t>
            </w:r>
          </w:p>
        </w:tc>
        <w:tc>
          <w:tcPr>
            <w:tcW w:w="0" w:type="auto"/>
          </w:tcPr>
          <w:p w14:paraId="78531FDC" w14:textId="59F27876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NFR-006 and NFR-009 require secure credential handling and encryption upon account creation.</w:t>
            </w:r>
          </w:p>
        </w:tc>
        <w:tc>
          <w:tcPr>
            <w:tcW w:w="0" w:type="auto"/>
          </w:tcPr>
          <w:p w14:paraId="09CFF9DA" w14:textId="00DB4E2F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Low</w:t>
            </w:r>
          </w:p>
        </w:tc>
        <w:tc>
          <w:tcPr>
            <w:tcW w:w="0" w:type="auto"/>
          </w:tcPr>
          <w:p w14:paraId="0AB0E429" w14:textId="11DD7CCF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3F2DA2B4" w14:textId="52F45C4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54C7BADE" w14:textId="47864F3A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Implement industry-standard encryption and security protocols before user registration is built.</w:t>
            </w:r>
          </w:p>
        </w:tc>
        <w:tc>
          <w:tcPr>
            <w:tcW w:w="0" w:type="auto"/>
          </w:tcPr>
          <w:p w14:paraId="0D58AA92" w14:textId="2BA0CA8F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Force a global password reset and patch the hashing vulnerability.</w:t>
            </w:r>
          </w:p>
        </w:tc>
        <w:tc>
          <w:tcPr>
            <w:tcW w:w="0" w:type="auto"/>
          </w:tcPr>
          <w:p w14:paraId="215D2383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614BBAA7" w14:textId="141FC1DE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0AAA7512" w14:textId="77777777" w:rsidTr="00C5615E">
        <w:tc>
          <w:tcPr>
            <w:tcW w:w="0" w:type="auto"/>
          </w:tcPr>
          <w:p w14:paraId="2F3C3999" w14:textId="5D6C20FC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R03</w:t>
            </w:r>
          </w:p>
        </w:tc>
        <w:tc>
          <w:tcPr>
            <w:tcW w:w="0" w:type="auto"/>
          </w:tcPr>
          <w:p w14:paraId="347A7F1F" w14:textId="5C48166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System processing delays exceed the 10-second threshold.</w:t>
            </w:r>
          </w:p>
        </w:tc>
        <w:tc>
          <w:tcPr>
            <w:tcW w:w="0" w:type="auto"/>
          </w:tcPr>
          <w:p w14:paraId="46F749AF" w14:textId="56F4878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Heavy filtering, sorting (FR-020), and management statistics (FR-018) calculations executed concurrently against the database.</w:t>
            </w:r>
          </w:p>
        </w:tc>
        <w:tc>
          <w:tcPr>
            <w:tcW w:w="0" w:type="auto"/>
          </w:tcPr>
          <w:p w14:paraId="5A6B8840" w14:textId="27FA435F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6A56DDBB" w14:textId="58B1D48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21855103" w14:textId="41265F71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281A028" w14:textId="4400E7A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Optimize database queries and indexing specifically for heavy filtering/sorting tasks.</w:t>
            </w:r>
          </w:p>
        </w:tc>
        <w:tc>
          <w:tcPr>
            <w:tcW w:w="0" w:type="auto"/>
          </w:tcPr>
          <w:p w14:paraId="11E9DDA0" w14:textId="4EBA93B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Defer live statistical rendering in favour of asynchronous reporting.</w:t>
            </w:r>
          </w:p>
        </w:tc>
        <w:tc>
          <w:tcPr>
            <w:tcW w:w="0" w:type="auto"/>
          </w:tcPr>
          <w:p w14:paraId="58322E01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04960780" w14:textId="0D28257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67A7A922" w14:textId="77777777" w:rsidTr="00C5615E">
        <w:tc>
          <w:tcPr>
            <w:tcW w:w="0" w:type="auto"/>
          </w:tcPr>
          <w:p w14:paraId="4859F686" w14:textId="43C48E97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R04</w:t>
            </w:r>
          </w:p>
        </w:tc>
        <w:tc>
          <w:tcPr>
            <w:tcW w:w="0" w:type="auto"/>
          </w:tcPr>
          <w:p w14:paraId="3E535B5B" w14:textId="73669ADA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System crashes or degrades under load.</w:t>
            </w:r>
          </w:p>
        </w:tc>
        <w:tc>
          <w:tcPr>
            <w:tcW w:w="0" w:type="auto"/>
          </w:tcPr>
          <w:p w14:paraId="070DF696" w14:textId="3A3AB0F9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NFR-013 mandates support for 210 concurrent users, which strains unoptimized server resources.</w:t>
            </w:r>
          </w:p>
        </w:tc>
        <w:tc>
          <w:tcPr>
            <w:tcW w:w="0" w:type="auto"/>
          </w:tcPr>
          <w:p w14:paraId="1EE48262" w14:textId="17D2A4EE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3F6AB8A7" w14:textId="3E03BEC6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7C3AAA58" w14:textId="06956566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71A5DD57" w14:textId="143DFEB6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Design scalable server architecture and include load testing in the testing strategy.</w:t>
            </w:r>
          </w:p>
        </w:tc>
        <w:tc>
          <w:tcPr>
            <w:tcW w:w="0" w:type="auto"/>
          </w:tcPr>
          <w:p w14:paraId="032937B0" w14:textId="40CE3605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Temporarily queue incoming user requests until capacity frees up.</w:t>
            </w:r>
          </w:p>
        </w:tc>
        <w:tc>
          <w:tcPr>
            <w:tcW w:w="0" w:type="auto"/>
          </w:tcPr>
          <w:p w14:paraId="7D73F4AB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374B87DB" w14:textId="181BCC29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30572ECD" w14:textId="77777777" w:rsidTr="00C5615E">
        <w:tc>
          <w:tcPr>
            <w:tcW w:w="0" w:type="auto"/>
          </w:tcPr>
          <w:p w14:paraId="26106F9E" w14:textId="007111DC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R05</w:t>
            </w:r>
          </w:p>
        </w:tc>
        <w:tc>
          <w:tcPr>
            <w:tcW w:w="0" w:type="auto"/>
          </w:tcPr>
          <w:p w14:paraId="5F96DA50" w14:textId="00B5B702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The backup database fails to execute a successful failover.</w:t>
            </w:r>
          </w:p>
        </w:tc>
        <w:tc>
          <w:tcPr>
            <w:tcW w:w="0" w:type="auto"/>
          </w:tcPr>
          <w:p w14:paraId="12835789" w14:textId="634DA20A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NFR-012 requires redundant database architecture, introducing complex synchronization dependencies.</w:t>
            </w:r>
          </w:p>
        </w:tc>
        <w:tc>
          <w:tcPr>
            <w:tcW w:w="0" w:type="auto"/>
          </w:tcPr>
          <w:p w14:paraId="394207B4" w14:textId="3DB98DD7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Low</w:t>
            </w:r>
          </w:p>
        </w:tc>
        <w:tc>
          <w:tcPr>
            <w:tcW w:w="0" w:type="auto"/>
          </w:tcPr>
          <w:p w14:paraId="352E59A9" w14:textId="5BB1A34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4E3276FE" w14:textId="1DC60607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010BDCDF" w14:textId="3EC379D4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Define rigorous database redundancy and failover protocols in the Forward Engineering Considerations</w:t>
            </w:r>
          </w:p>
        </w:tc>
        <w:tc>
          <w:tcPr>
            <w:tcW w:w="0" w:type="auto"/>
          </w:tcPr>
          <w:p w14:paraId="3F250E62" w14:textId="6B9ACDF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Initiate manual database restoration from the most recent safe snapshot.</w:t>
            </w:r>
          </w:p>
        </w:tc>
        <w:tc>
          <w:tcPr>
            <w:tcW w:w="0" w:type="auto"/>
          </w:tcPr>
          <w:p w14:paraId="5844362D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6D389FCB" w14:textId="647E31AA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5CB366F8" w14:textId="77777777" w:rsidTr="00C5615E">
        <w:tc>
          <w:tcPr>
            <w:tcW w:w="0" w:type="auto"/>
          </w:tcPr>
          <w:p w14:paraId="1BAB3249" w14:textId="5DC89401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R06</w:t>
            </w:r>
          </w:p>
        </w:tc>
        <w:tc>
          <w:tcPr>
            <w:tcW w:w="0" w:type="auto"/>
          </w:tcPr>
          <w:p w14:paraId="11B4DCC2" w14:textId="12D1D259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Submitted service request information becomes corrupted and the system fails to execute a rollback.</w:t>
            </w:r>
          </w:p>
        </w:tc>
        <w:tc>
          <w:tcPr>
            <w:tcW w:w="0" w:type="auto"/>
          </w:tcPr>
          <w:p w14:paraId="50028C83" w14:textId="7CFFB4DE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NFR-004 requires corruption-free storage and rollback mechanisms during transaction failures.</w:t>
            </w:r>
          </w:p>
        </w:tc>
        <w:tc>
          <w:tcPr>
            <w:tcW w:w="0" w:type="auto"/>
          </w:tcPr>
          <w:p w14:paraId="6285C7D4" w14:textId="53C1E1DC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Low</w:t>
            </w:r>
          </w:p>
        </w:tc>
        <w:tc>
          <w:tcPr>
            <w:tcW w:w="0" w:type="auto"/>
          </w:tcPr>
          <w:p w14:paraId="4150098D" w14:textId="0AEF0F04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368B3187" w14:textId="08196742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4F7D094" w14:textId="210F213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Enforce strict transactional database rules and atomic commits for all data ingestion.</w:t>
            </w:r>
          </w:p>
        </w:tc>
        <w:tc>
          <w:tcPr>
            <w:tcW w:w="0" w:type="auto"/>
          </w:tcPr>
          <w:p w14:paraId="02096AA7" w14:textId="54683FB2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Isolate the corrupted tables and restore the missing records from local logs.</w:t>
            </w:r>
          </w:p>
        </w:tc>
        <w:tc>
          <w:tcPr>
            <w:tcW w:w="0" w:type="auto"/>
          </w:tcPr>
          <w:p w14:paraId="4DC13A83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32E6D62E" w14:textId="4BDF3A02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4E0DD706" w14:textId="77777777" w:rsidTr="00C5615E">
        <w:tc>
          <w:tcPr>
            <w:tcW w:w="0" w:type="auto"/>
          </w:tcPr>
          <w:p w14:paraId="69822423" w14:textId="69A6EA9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R07</w:t>
            </w:r>
          </w:p>
        </w:tc>
        <w:tc>
          <w:tcPr>
            <w:tcW w:w="0" w:type="auto"/>
          </w:tcPr>
          <w:p w14:paraId="40B15012" w14:textId="42866E65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External API failures prevent the system from sending required status notifications via Gmail or SMS.</w:t>
            </w:r>
          </w:p>
        </w:tc>
        <w:tc>
          <w:tcPr>
            <w:tcW w:w="0" w:type="auto"/>
          </w:tcPr>
          <w:p w14:paraId="71793242" w14:textId="0A79974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NFR-002 requires external platform integration, making the system reliant on third-party uptime.</w:t>
            </w:r>
          </w:p>
        </w:tc>
        <w:tc>
          <w:tcPr>
            <w:tcW w:w="0" w:type="auto"/>
          </w:tcPr>
          <w:p w14:paraId="6D5997F4" w14:textId="0CD56465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21276E8B" w14:textId="7F91283C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00C88A90" w14:textId="03E3DB9C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28787567" w14:textId="4EB244A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Map out API rate limits and build robust error handling for external communication</w:t>
            </w:r>
          </w:p>
        </w:tc>
        <w:tc>
          <w:tcPr>
            <w:tcW w:w="0" w:type="auto"/>
          </w:tcPr>
          <w:p w14:paraId="303CC803" w14:textId="426A1DA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Default to displaying in-app status updates (FR-004) until API connectivity is restored.</w:t>
            </w:r>
          </w:p>
        </w:tc>
        <w:tc>
          <w:tcPr>
            <w:tcW w:w="0" w:type="auto"/>
          </w:tcPr>
          <w:p w14:paraId="45A2C4E1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5D98E81F" w14:textId="08EEA0F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14D836A9" w14:textId="77777777" w:rsidTr="00C5615E">
        <w:tc>
          <w:tcPr>
            <w:tcW w:w="0" w:type="auto"/>
          </w:tcPr>
          <w:p w14:paraId="4675146F" w14:textId="59981866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R08</w:t>
            </w:r>
          </w:p>
        </w:tc>
        <w:tc>
          <w:tcPr>
            <w:tcW w:w="0" w:type="auto"/>
          </w:tcPr>
          <w:p w14:paraId="149DC436" w14:textId="09DDAC41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 xml:space="preserve">Platform interface </w:t>
            </w:r>
            <w:r w:rsidRPr="00C5615E">
              <w:rPr>
                <w:sz w:val="15"/>
                <w:szCs w:val="15"/>
              </w:rPr>
              <w:lastRenderedPageBreak/>
              <w:t>fails to function or render correctly across phone, tablet, laptop, and desktop devices.</w:t>
            </w:r>
          </w:p>
        </w:tc>
        <w:tc>
          <w:tcPr>
            <w:tcW w:w="0" w:type="auto"/>
          </w:tcPr>
          <w:p w14:paraId="34E213FA" w14:textId="75A7E79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lastRenderedPageBreak/>
              <w:t xml:space="preserve">NFR-008 requires </w:t>
            </w:r>
            <w:r w:rsidRPr="00C5615E">
              <w:rPr>
                <w:sz w:val="15"/>
                <w:szCs w:val="15"/>
              </w:rPr>
              <w:lastRenderedPageBreak/>
              <w:t>compatibility across phone, tablet, laptop, and desktop interfaces.</w:t>
            </w:r>
          </w:p>
        </w:tc>
        <w:tc>
          <w:tcPr>
            <w:tcW w:w="0" w:type="auto"/>
          </w:tcPr>
          <w:p w14:paraId="037D15F3" w14:textId="5189F753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lastRenderedPageBreak/>
              <w:t>High</w:t>
            </w:r>
          </w:p>
        </w:tc>
        <w:tc>
          <w:tcPr>
            <w:tcW w:w="0" w:type="auto"/>
          </w:tcPr>
          <w:p w14:paraId="70BFC5F2" w14:textId="3108070D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0819B760" w14:textId="2018F205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5D9C8510" w14:textId="278F636A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 xml:space="preserve">Commit to a highly </w:t>
            </w:r>
            <w:r w:rsidRPr="00C5615E">
              <w:rPr>
                <w:sz w:val="15"/>
                <w:szCs w:val="15"/>
              </w:rPr>
              <w:lastRenderedPageBreak/>
              <w:t>responsive UI framework in the Milestone 2 technology selection.</w:t>
            </w:r>
          </w:p>
        </w:tc>
        <w:tc>
          <w:tcPr>
            <w:tcW w:w="0" w:type="auto"/>
          </w:tcPr>
          <w:p w14:paraId="58A99093" w14:textId="284B3C78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lastRenderedPageBreak/>
              <w:t xml:space="preserve">Enforce a desktop-first </w:t>
            </w:r>
            <w:r w:rsidRPr="00C5615E">
              <w:rPr>
                <w:sz w:val="15"/>
                <w:szCs w:val="15"/>
              </w:rPr>
              <w:lastRenderedPageBreak/>
              <w:t>deployment until mobile layouts are stabilized.</w:t>
            </w:r>
          </w:p>
        </w:tc>
        <w:tc>
          <w:tcPr>
            <w:tcW w:w="0" w:type="auto"/>
          </w:tcPr>
          <w:p w14:paraId="77CBB3AB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6415011A" w14:textId="1067C3B5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  <w:tr w:rsidR="009F5F6E" w:rsidRPr="00C5615E" w14:paraId="7F5B737B" w14:textId="77777777" w:rsidTr="00C5615E">
        <w:tc>
          <w:tcPr>
            <w:tcW w:w="0" w:type="auto"/>
          </w:tcPr>
          <w:p w14:paraId="1F232C89" w14:textId="3BF0E0F7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R09</w:t>
            </w:r>
          </w:p>
        </w:tc>
        <w:tc>
          <w:tcPr>
            <w:tcW w:w="0" w:type="auto"/>
          </w:tcPr>
          <w:p w14:paraId="237056A4" w14:textId="5FF8B013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Scope creep driven by the high volume of complex "High" priority features (e.g., auditing staff actions, FR-021) leads to premature M1 coding.</w:t>
            </w:r>
          </w:p>
        </w:tc>
        <w:tc>
          <w:tcPr>
            <w:tcW w:w="0" w:type="auto"/>
          </w:tcPr>
          <w:p w14:paraId="0F7EB870" w14:textId="59601734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 volume of complex "High" priority features (e.g., FR-021 auditing) tempting developers to build before baselining.</w:t>
            </w:r>
          </w:p>
        </w:tc>
        <w:tc>
          <w:tcPr>
            <w:tcW w:w="0" w:type="auto"/>
          </w:tcPr>
          <w:p w14:paraId="27B8A75F" w14:textId="60253C14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71F9C086" w14:textId="472B0475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155BCCCB" w14:textId="03FCF384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7DCC41D0" w14:textId="48422EA5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Strictly bind these complex requirements to future milestones and lock the PED v1.0 scope baseline.</w:t>
            </w:r>
          </w:p>
        </w:tc>
        <w:tc>
          <w:tcPr>
            <w:tcW w:w="0" w:type="auto"/>
          </w:tcPr>
          <w:p w14:paraId="2005C000" w14:textId="522361D0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Revert any premature implementation branches and refocus on documentation.</w:t>
            </w:r>
          </w:p>
        </w:tc>
        <w:tc>
          <w:tcPr>
            <w:tcW w:w="0" w:type="auto"/>
          </w:tcPr>
          <w:p w14:paraId="3117E26C" w14:textId="77777777" w:rsidR="009F5F6E" w:rsidRPr="00C5615E" w:rsidRDefault="009F5F6E" w:rsidP="00C5615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77AB3D4C" w14:textId="5CB89ACF" w:rsidR="009F5F6E" w:rsidRPr="00C5615E" w:rsidRDefault="009F5F6E" w:rsidP="00C5615E">
            <w:pPr>
              <w:rPr>
                <w:sz w:val="15"/>
                <w:szCs w:val="15"/>
              </w:rPr>
            </w:pPr>
            <w:r w:rsidRPr="00C5615E">
              <w:rPr>
                <w:sz w:val="15"/>
                <w:szCs w:val="15"/>
              </w:rPr>
              <w:t>Active</w:t>
            </w:r>
          </w:p>
        </w:tc>
      </w:tr>
    </w:tbl>
    <w:p w14:paraId="5C1930D6" w14:textId="77777777" w:rsidR="00DB4E1C" w:rsidRDefault="00DB4E1C"/>
    <w:sectPr w:rsidR="00DB4E1C" w:rsidSect="00C56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DB"/>
    <w:rsid w:val="0025240B"/>
    <w:rsid w:val="002861A9"/>
    <w:rsid w:val="002C3AAA"/>
    <w:rsid w:val="002E5374"/>
    <w:rsid w:val="00425D8E"/>
    <w:rsid w:val="005E503D"/>
    <w:rsid w:val="008322F2"/>
    <w:rsid w:val="009F5F6E"/>
    <w:rsid w:val="00A413DB"/>
    <w:rsid w:val="00C5615E"/>
    <w:rsid w:val="00DB4E1C"/>
    <w:rsid w:val="00F5068C"/>
    <w:rsid w:val="00FD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41FBA"/>
  <w15:chartTrackingRefBased/>
  <w15:docId w15:val="{BE6477C0-326A-BF4E-8C27-EF711F6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3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3</cp:revision>
  <dcterms:created xsi:type="dcterms:W3CDTF">2026-09-07T19:36:00Z</dcterms:created>
  <dcterms:modified xsi:type="dcterms:W3CDTF">2026-09-08T18:23:00Z</dcterms:modified>
</cp:coreProperties>
</file>