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"/>
        <w:gridCol w:w="1009"/>
        <w:gridCol w:w="891"/>
        <w:gridCol w:w="850"/>
        <w:gridCol w:w="834"/>
        <w:gridCol w:w="1273"/>
        <w:gridCol w:w="895"/>
        <w:gridCol w:w="895"/>
        <w:gridCol w:w="786"/>
        <w:gridCol w:w="922"/>
      </w:tblGrid>
      <w:tr w:rsidR="007D7064" w:rsidRPr="007D7064" w14:paraId="1DEBF063" w14:textId="77777777" w:rsidTr="00336DD0">
        <w:tc>
          <w:tcPr>
            <w:tcW w:w="901" w:type="dxa"/>
            <w:shd w:val="clear" w:color="auto" w:fill="0E2841" w:themeFill="text2"/>
          </w:tcPr>
          <w:p w14:paraId="4F63FD48" w14:textId="30480318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Decision ID</w:t>
            </w:r>
          </w:p>
        </w:tc>
        <w:tc>
          <w:tcPr>
            <w:tcW w:w="901" w:type="dxa"/>
            <w:shd w:val="clear" w:color="auto" w:fill="0E2841" w:themeFill="text2"/>
          </w:tcPr>
          <w:p w14:paraId="49F89FCD" w14:textId="4A09F537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Context</w:t>
            </w:r>
          </w:p>
        </w:tc>
        <w:tc>
          <w:tcPr>
            <w:tcW w:w="901" w:type="dxa"/>
            <w:shd w:val="clear" w:color="auto" w:fill="0E2841" w:themeFill="text2"/>
          </w:tcPr>
          <w:p w14:paraId="621763D9" w14:textId="5436E79A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Constraints</w:t>
            </w:r>
          </w:p>
        </w:tc>
        <w:tc>
          <w:tcPr>
            <w:tcW w:w="901" w:type="dxa"/>
            <w:shd w:val="clear" w:color="auto" w:fill="0E2841" w:themeFill="text2"/>
          </w:tcPr>
          <w:p w14:paraId="365E56A5" w14:textId="5CE64C74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Alternatives</w:t>
            </w:r>
          </w:p>
        </w:tc>
        <w:tc>
          <w:tcPr>
            <w:tcW w:w="902" w:type="dxa"/>
            <w:shd w:val="clear" w:color="auto" w:fill="0E2841" w:themeFill="text2"/>
          </w:tcPr>
          <w:p w14:paraId="5C2ED779" w14:textId="35B62E33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Decision</w:t>
            </w:r>
          </w:p>
        </w:tc>
        <w:tc>
          <w:tcPr>
            <w:tcW w:w="902" w:type="dxa"/>
            <w:shd w:val="clear" w:color="auto" w:fill="0E2841" w:themeFill="text2"/>
          </w:tcPr>
          <w:p w14:paraId="0C0D2D81" w14:textId="2178D937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Rationale</w:t>
            </w:r>
          </w:p>
        </w:tc>
        <w:tc>
          <w:tcPr>
            <w:tcW w:w="902" w:type="dxa"/>
            <w:shd w:val="clear" w:color="auto" w:fill="0E2841" w:themeFill="text2"/>
          </w:tcPr>
          <w:p w14:paraId="70975A98" w14:textId="6AD37A97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Trade-offs</w:t>
            </w:r>
          </w:p>
        </w:tc>
        <w:tc>
          <w:tcPr>
            <w:tcW w:w="902" w:type="dxa"/>
            <w:shd w:val="clear" w:color="auto" w:fill="0E2841" w:themeFill="text2"/>
          </w:tcPr>
          <w:p w14:paraId="797B63EA" w14:textId="797EF26B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Risks</w:t>
            </w:r>
          </w:p>
        </w:tc>
        <w:tc>
          <w:tcPr>
            <w:tcW w:w="902" w:type="dxa"/>
            <w:shd w:val="clear" w:color="auto" w:fill="0E2841" w:themeFill="text2"/>
          </w:tcPr>
          <w:p w14:paraId="0DB4FB07" w14:textId="36844826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Evidence</w:t>
            </w:r>
          </w:p>
        </w:tc>
        <w:tc>
          <w:tcPr>
            <w:tcW w:w="902" w:type="dxa"/>
            <w:shd w:val="clear" w:color="auto" w:fill="0E2841" w:themeFill="text2"/>
          </w:tcPr>
          <w:p w14:paraId="730EE81F" w14:textId="3E3287F1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Later Consequence</w:t>
            </w:r>
          </w:p>
        </w:tc>
      </w:tr>
      <w:tr w:rsidR="007D7064" w:rsidRPr="007D7064" w14:paraId="41FC2B88" w14:textId="77777777" w:rsidTr="007D7064">
        <w:tc>
          <w:tcPr>
            <w:tcW w:w="901" w:type="dxa"/>
          </w:tcPr>
          <w:p w14:paraId="7F71DB01" w14:textId="4F04390F" w:rsidR="007D7064" w:rsidRPr="007D7064" w:rsidRDefault="00336D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D01</w:t>
            </w:r>
          </w:p>
        </w:tc>
        <w:tc>
          <w:tcPr>
            <w:tcW w:w="901" w:type="dxa"/>
          </w:tcPr>
          <w:p w14:paraId="4DEBBBC9" w14:textId="4E38AAB4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Repository setup and team collaboration workflow.</w:t>
            </w:r>
          </w:p>
        </w:tc>
        <w:tc>
          <w:tcPr>
            <w:tcW w:w="901" w:type="dxa"/>
          </w:tcPr>
          <w:p w14:paraId="678FE2C3" w14:textId="3D27EBC9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Mandatory 3-student team size and strict GitHub assessment criteria.</w:t>
            </w:r>
          </w:p>
        </w:tc>
        <w:tc>
          <w:tcPr>
            <w:tcW w:w="901" w:type="dxa"/>
          </w:tcPr>
          <w:p w14:paraId="15FB3D64" w14:textId="24CCD4BE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Unprotected main branch or single-reviewer sign-off.</w:t>
            </w:r>
          </w:p>
        </w:tc>
        <w:tc>
          <w:tcPr>
            <w:tcW w:w="902" w:type="dxa"/>
          </w:tcPr>
          <w:p w14:paraId="626EE40B" w14:textId="6AD87F98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Adopt a protected main branch with a mandatory two-reviewer approval model.</w:t>
            </w:r>
          </w:p>
        </w:tc>
        <w:tc>
          <w:tcPr>
            <w:tcW w:w="902" w:type="dxa"/>
          </w:tcPr>
          <w:p w14:paraId="532F551C" w14:textId="35D7B090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Enforces peer accountability and prevents uncontrolled code/documentation from entering the baseline.</w:t>
            </w:r>
          </w:p>
        </w:tc>
        <w:tc>
          <w:tcPr>
            <w:tcW w:w="902" w:type="dxa"/>
          </w:tcPr>
          <w:p w14:paraId="59E0E837" w14:textId="385763AE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PRs sitting unreviewed, risking schedule delays.</w:t>
            </w:r>
          </w:p>
        </w:tc>
        <w:tc>
          <w:tcPr>
            <w:tcW w:w="902" w:type="dxa"/>
          </w:tcPr>
          <w:p w14:paraId="2439660A" w14:textId="2B883BEA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PRs sitting unreviewed, risking schedule delays.</w:t>
            </w:r>
          </w:p>
        </w:tc>
        <w:tc>
          <w:tcPr>
            <w:tcW w:w="902" w:type="dxa"/>
          </w:tcPr>
          <w:p w14:paraId="490C623A" w14:textId="2FAA2451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Branch protection rules applied in GitHub settings.</w:t>
            </w:r>
          </w:p>
        </w:tc>
        <w:tc>
          <w:tcPr>
            <w:tcW w:w="902" w:type="dxa"/>
          </w:tcPr>
          <w:p w14:paraId="7B2127AE" w14:textId="77777777" w:rsidR="007D7064" w:rsidRPr="007D7064" w:rsidRDefault="007D7064">
            <w:pPr>
              <w:rPr>
                <w:sz w:val="16"/>
                <w:szCs w:val="16"/>
              </w:rPr>
            </w:pPr>
          </w:p>
        </w:tc>
      </w:tr>
      <w:tr w:rsidR="007D7064" w:rsidRPr="007D7064" w14:paraId="711048EE" w14:textId="77777777" w:rsidTr="007D7064">
        <w:tc>
          <w:tcPr>
            <w:tcW w:w="901" w:type="dxa"/>
          </w:tcPr>
          <w:p w14:paraId="021EDAD9" w14:textId="280164B9" w:rsidR="007D7064" w:rsidRPr="007D7064" w:rsidRDefault="00336D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D02</w:t>
            </w:r>
          </w:p>
        </w:tc>
        <w:tc>
          <w:tcPr>
            <w:tcW w:w="901" w:type="dxa"/>
          </w:tcPr>
          <w:p w14:paraId="74BE7385" w14:textId="502047BE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Technology stack and database selection.</w:t>
            </w:r>
          </w:p>
        </w:tc>
        <w:tc>
          <w:tcPr>
            <w:tcW w:w="901" w:type="dxa"/>
          </w:tcPr>
          <w:p w14:paraId="4962BA77" w14:textId="5F9D131F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Milestone 1 boundaries explicitly prohibit final technology selection.</w:t>
            </w:r>
          </w:p>
        </w:tc>
        <w:tc>
          <w:tcPr>
            <w:tcW w:w="901" w:type="dxa"/>
          </w:tcPr>
          <w:p w14:paraId="6B984F74" w14:textId="62E417DB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Selecting a framework immediately to begin coding.</w:t>
            </w:r>
          </w:p>
        </w:tc>
        <w:tc>
          <w:tcPr>
            <w:tcW w:w="902" w:type="dxa"/>
          </w:tcPr>
          <w:p w14:paraId="4D2D0861" w14:textId="3AE53B8A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Defer final technology stack selection to Milestone 2.</w:t>
            </w:r>
          </w:p>
        </w:tc>
        <w:tc>
          <w:tcPr>
            <w:tcW w:w="902" w:type="dxa"/>
          </w:tcPr>
          <w:p w14:paraId="53A7592A" w14:textId="6BB37531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Prevents premature technical commitment before requirements and operational constraints are baselined</w:t>
            </w:r>
          </w:p>
        </w:tc>
        <w:tc>
          <w:tcPr>
            <w:tcW w:w="902" w:type="dxa"/>
          </w:tcPr>
          <w:p w14:paraId="561477A0" w14:textId="3E15D756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Team may face a steeper learning curve in M2 once the stack is locked.</w:t>
            </w:r>
          </w:p>
        </w:tc>
        <w:tc>
          <w:tcPr>
            <w:tcW w:w="902" w:type="dxa"/>
          </w:tcPr>
          <w:p w14:paraId="6A3E0705" w14:textId="6CB38B9F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Team may face a steeper learning curve in M2 once the stack is locked.</w:t>
            </w:r>
          </w:p>
        </w:tc>
        <w:tc>
          <w:tcPr>
            <w:tcW w:w="902" w:type="dxa"/>
          </w:tcPr>
          <w:p w14:paraId="68A0391C" w14:textId="2CADE8EB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Recorded as a deferred decision in PED v1.0.</w:t>
            </w:r>
          </w:p>
        </w:tc>
        <w:tc>
          <w:tcPr>
            <w:tcW w:w="902" w:type="dxa"/>
          </w:tcPr>
          <w:p w14:paraId="65BBCF65" w14:textId="77777777" w:rsidR="007D7064" w:rsidRPr="007D7064" w:rsidRDefault="007D7064">
            <w:pPr>
              <w:rPr>
                <w:sz w:val="16"/>
                <w:szCs w:val="16"/>
              </w:rPr>
            </w:pPr>
          </w:p>
        </w:tc>
      </w:tr>
      <w:tr w:rsidR="007D7064" w:rsidRPr="007D7064" w14:paraId="613944C7" w14:textId="77777777" w:rsidTr="007D7064">
        <w:tc>
          <w:tcPr>
            <w:tcW w:w="901" w:type="dxa"/>
          </w:tcPr>
          <w:p w14:paraId="18CABA3D" w14:textId="1A6D6070" w:rsidR="007D7064" w:rsidRPr="007D7064" w:rsidRDefault="00336D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D03</w:t>
            </w:r>
          </w:p>
        </w:tc>
        <w:tc>
          <w:tcPr>
            <w:tcW w:w="901" w:type="dxa"/>
          </w:tcPr>
          <w:p w14:paraId="34577FAA" w14:textId="5E19F86D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Scope of detailed UI wireframes, DB schemas, and APIs.</w:t>
            </w:r>
          </w:p>
        </w:tc>
        <w:tc>
          <w:tcPr>
            <w:tcW w:w="901" w:type="dxa"/>
          </w:tcPr>
          <w:p w14:paraId="1BC97DDE" w14:textId="78334DC2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Milestone 1 is restricted to an engineering and requirements baseline.</w:t>
            </w:r>
          </w:p>
        </w:tc>
        <w:tc>
          <w:tcPr>
            <w:tcW w:w="901" w:type="dxa"/>
          </w:tcPr>
          <w:p w14:paraId="1BEE70B6" w14:textId="2E16DEF1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 xml:space="preserve">Creating </w:t>
            </w:r>
            <w:proofErr w:type="spellStart"/>
            <w:r w:rsidRPr="007D7064">
              <w:rPr>
                <w:sz w:val="16"/>
                <w:szCs w:val="16"/>
              </w:rPr>
              <w:t>mockups</w:t>
            </w:r>
            <w:proofErr w:type="spellEnd"/>
            <w:r w:rsidRPr="007D7064">
              <w:rPr>
                <w:sz w:val="16"/>
                <w:szCs w:val="16"/>
              </w:rPr>
              <w:t xml:space="preserve"> and schemas to get a head start.</w:t>
            </w:r>
          </w:p>
        </w:tc>
        <w:tc>
          <w:tcPr>
            <w:tcW w:w="902" w:type="dxa"/>
          </w:tcPr>
          <w:p w14:paraId="2566BF66" w14:textId="5F7E8921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Exclude UI, DB schemas, and APIs from Milestone 1 deliverables</w:t>
            </w:r>
          </w:p>
        </w:tc>
        <w:tc>
          <w:tcPr>
            <w:tcW w:w="902" w:type="dxa"/>
          </w:tcPr>
          <w:p w14:paraId="71C97841" w14:textId="07103AE1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Keeps the team focused entirely on defining requirements, risks, and constraints.</w:t>
            </w:r>
          </w:p>
        </w:tc>
        <w:tc>
          <w:tcPr>
            <w:tcW w:w="902" w:type="dxa"/>
          </w:tcPr>
          <w:p w14:paraId="59174B66" w14:textId="6CC7385D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Misalignment on UI expectations in M2.</w:t>
            </w:r>
          </w:p>
        </w:tc>
        <w:tc>
          <w:tcPr>
            <w:tcW w:w="902" w:type="dxa"/>
          </w:tcPr>
          <w:p w14:paraId="6DB47692" w14:textId="1E27DDB9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Misalignment on UI expectations in M2.</w:t>
            </w:r>
          </w:p>
        </w:tc>
        <w:tc>
          <w:tcPr>
            <w:tcW w:w="902" w:type="dxa"/>
          </w:tcPr>
          <w:p w14:paraId="3F35BC2B" w14:textId="7A078F51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Scope baseline boundaries in PED v1.0</w:t>
            </w:r>
          </w:p>
        </w:tc>
        <w:tc>
          <w:tcPr>
            <w:tcW w:w="902" w:type="dxa"/>
          </w:tcPr>
          <w:p w14:paraId="0B80A4A7" w14:textId="77777777" w:rsidR="007D7064" w:rsidRPr="007D7064" w:rsidRDefault="007D7064">
            <w:pPr>
              <w:rPr>
                <w:sz w:val="16"/>
                <w:szCs w:val="16"/>
              </w:rPr>
            </w:pPr>
          </w:p>
        </w:tc>
      </w:tr>
      <w:tr w:rsidR="007D7064" w:rsidRPr="007D7064" w14:paraId="74379909" w14:textId="77777777" w:rsidTr="007D7064">
        <w:tc>
          <w:tcPr>
            <w:tcW w:w="901" w:type="dxa"/>
          </w:tcPr>
          <w:p w14:paraId="6D106347" w14:textId="7EAD6282" w:rsidR="007D7064" w:rsidRPr="007D7064" w:rsidRDefault="00336D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D04</w:t>
            </w:r>
          </w:p>
        </w:tc>
        <w:tc>
          <w:tcPr>
            <w:tcW w:w="901" w:type="dxa"/>
          </w:tcPr>
          <w:p w14:paraId="28BD8498" w14:textId="48A49B88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Standardization of AI usage and verification.</w:t>
            </w:r>
          </w:p>
        </w:tc>
        <w:tc>
          <w:tcPr>
            <w:tcW w:w="901" w:type="dxa"/>
          </w:tcPr>
          <w:p w14:paraId="099480FB" w14:textId="4A5CE6B0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AI output is not authoritative evidence and requires human verification.</w:t>
            </w:r>
          </w:p>
        </w:tc>
        <w:tc>
          <w:tcPr>
            <w:tcW w:w="901" w:type="dxa"/>
          </w:tcPr>
          <w:p w14:paraId="2124D4C8" w14:textId="28E1179C" w:rsidR="007D7064" w:rsidRPr="007D7064" w:rsidRDefault="007D7064">
            <w:pPr>
              <w:rPr>
                <w:sz w:val="16"/>
                <w:szCs w:val="16"/>
              </w:rPr>
            </w:pPr>
            <w:r w:rsidRPr="007D7064">
              <w:rPr>
                <w:sz w:val="16"/>
                <w:szCs w:val="16"/>
              </w:rPr>
              <w:t>Ad-hoc tracking or total prohibition of AI tools.</w:t>
            </w:r>
          </w:p>
        </w:tc>
        <w:tc>
          <w:tcPr>
            <w:tcW w:w="902" w:type="dxa"/>
          </w:tcPr>
          <w:p w14:paraId="1D03CDF5" w14:textId="185DAB84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Mandate the AI Usage Register with specific naming conventions (e.g., AI-RES).</w:t>
            </w:r>
          </w:p>
        </w:tc>
        <w:tc>
          <w:tcPr>
            <w:tcW w:w="902" w:type="dxa"/>
          </w:tcPr>
          <w:p w14:paraId="3600E68D" w14:textId="46D7EE59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Maintains academic integrity, transparency, and ensures human accountability for all AI-assisted work.</w:t>
            </w:r>
          </w:p>
        </w:tc>
        <w:tc>
          <w:tcPr>
            <w:tcW w:w="902" w:type="dxa"/>
          </w:tcPr>
          <w:p w14:paraId="5B99920D" w14:textId="1AF425DE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Team members forget to log minor AI queries.</w:t>
            </w:r>
          </w:p>
        </w:tc>
        <w:tc>
          <w:tcPr>
            <w:tcW w:w="902" w:type="dxa"/>
          </w:tcPr>
          <w:p w14:paraId="2D84ECF7" w14:textId="7528BEF9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Team members forget to log minor AI queries.</w:t>
            </w:r>
          </w:p>
        </w:tc>
        <w:tc>
          <w:tcPr>
            <w:tcW w:w="902" w:type="dxa"/>
          </w:tcPr>
          <w:p w14:paraId="5F839D50" w14:textId="06B603D5" w:rsidR="007D7064" w:rsidRPr="007D7064" w:rsidRDefault="00336DD0">
            <w:pPr>
              <w:rPr>
                <w:sz w:val="16"/>
                <w:szCs w:val="16"/>
              </w:rPr>
            </w:pPr>
            <w:r w:rsidRPr="00336DD0">
              <w:rPr>
                <w:sz w:val="16"/>
                <w:szCs w:val="16"/>
              </w:rPr>
              <w:t>AI Usage Register document.</w:t>
            </w:r>
          </w:p>
        </w:tc>
        <w:tc>
          <w:tcPr>
            <w:tcW w:w="902" w:type="dxa"/>
          </w:tcPr>
          <w:p w14:paraId="5737013E" w14:textId="77777777" w:rsidR="007D7064" w:rsidRPr="007D7064" w:rsidRDefault="007D7064">
            <w:pPr>
              <w:rPr>
                <w:sz w:val="16"/>
                <w:szCs w:val="16"/>
              </w:rPr>
            </w:pPr>
          </w:p>
        </w:tc>
      </w:tr>
    </w:tbl>
    <w:p w14:paraId="4811E55C" w14:textId="77777777" w:rsidR="00DB4E1C" w:rsidRDefault="00DB4E1C"/>
    <w:sectPr w:rsidR="00DB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15"/>
    <w:rsid w:val="00174E15"/>
    <w:rsid w:val="002C3AAA"/>
    <w:rsid w:val="002E5374"/>
    <w:rsid w:val="00336DD0"/>
    <w:rsid w:val="0038098D"/>
    <w:rsid w:val="005E503D"/>
    <w:rsid w:val="007D7064"/>
    <w:rsid w:val="009E4975"/>
    <w:rsid w:val="00AE20E3"/>
    <w:rsid w:val="00D2702C"/>
    <w:rsid w:val="00DB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AD00"/>
  <w15:chartTrackingRefBased/>
  <w15:docId w15:val="{8068D609-03F3-0A4C-92D0-779C436A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E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4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809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2</cp:revision>
  <dcterms:created xsi:type="dcterms:W3CDTF">2026-09-06T13:36:00Z</dcterms:created>
  <dcterms:modified xsi:type="dcterms:W3CDTF">2026-09-08T18:46:00Z</dcterms:modified>
</cp:coreProperties>
</file>