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C4CB" w14:textId="77777777" w:rsidR="00635716" w:rsidRPr="00A46D92" w:rsidRDefault="00635716" w:rsidP="00A46D92">
      <w:pPr>
        <w:pStyle w:val="Heading1"/>
        <w:rPr>
          <w:rFonts w:ascii="Times New Roman" w:hAnsi="Times New Roman" w:cs="Times New Roman"/>
        </w:rPr>
      </w:pPr>
      <w:r w:rsidRPr="00A46D92">
        <w:rPr>
          <w:rFonts w:ascii="Times New Roman" w:hAnsi="Times New Roman" w:cs="Times New Roman"/>
          <w:lang w:val="en-US"/>
        </w:rPr>
        <w:t>16. Forward Engineering Considerations</w:t>
      </w:r>
      <w:r w:rsidRPr="00A46D92">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95"/>
        <w:gridCol w:w="1551"/>
        <w:gridCol w:w="1498"/>
        <w:gridCol w:w="1523"/>
        <w:gridCol w:w="1491"/>
        <w:gridCol w:w="1452"/>
      </w:tblGrid>
      <w:tr w:rsidR="00635716" w:rsidRPr="00F8589F" w14:paraId="18F1955F" w14:textId="77777777">
        <w:trPr>
          <w:trHeight w:val="285"/>
        </w:trPr>
        <w:tc>
          <w:tcPr>
            <w:tcW w:w="1620" w:type="dxa"/>
            <w:tcBorders>
              <w:top w:val="single" w:sz="6" w:space="0" w:color="000000"/>
              <w:left w:val="single" w:sz="6" w:space="0" w:color="000000"/>
              <w:bottom w:val="single" w:sz="6" w:space="0" w:color="000000"/>
              <w:right w:val="single" w:sz="6" w:space="0" w:color="000000"/>
            </w:tcBorders>
            <w:shd w:val="clear" w:color="auto" w:fill="0F243E"/>
            <w:hideMark/>
          </w:tcPr>
          <w:p w14:paraId="55D17278"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b/>
                <w:bCs/>
                <w:sz w:val="12"/>
                <w:szCs w:val="12"/>
                <w:lang w:val="en-US"/>
              </w:rPr>
              <w:t>Concern</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shd w:val="clear" w:color="auto" w:fill="0F243E"/>
            <w:hideMark/>
          </w:tcPr>
          <w:p w14:paraId="5F214474"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b/>
                <w:bCs/>
                <w:sz w:val="12"/>
                <w:szCs w:val="12"/>
                <w:lang w:val="en-US"/>
              </w:rPr>
              <w:t>Why does it matter now?</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shd w:val="clear" w:color="auto" w:fill="0F243E"/>
            <w:hideMark/>
          </w:tcPr>
          <w:p w14:paraId="1A4BEE55"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b/>
                <w:bCs/>
                <w:sz w:val="12"/>
                <w:szCs w:val="12"/>
                <w:lang w:val="en-US"/>
              </w:rPr>
              <w:t>What later decision/activity may it influence?</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shd w:val="clear" w:color="auto" w:fill="0F243E"/>
            <w:hideMark/>
          </w:tcPr>
          <w:p w14:paraId="6E0304B3"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b/>
                <w:bCs/>
                <w:sz w:val="12"/>
                <w:szCs w:val="12"/>
                <w:lang w:val="en-US"/>
              </w:rPr>
              <w:t>What information is still missing?</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shd w:val="clear" w:color="auto" w:fill="0F243E"/>
            <w:hideMark/>
          </w:tcPr>
          <w:p w14:paraId="04D82E5B"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b/>
                <w:bCs/>
                <w:sz w:val="12"/>
                <w:szCs w:val="12"/>
                <w:lang w:val="en-US"/>
              </w:rPr>
              <w:t>What is the risk of ignoring it?</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shd w:val="clear" w:color="auto" w:fill="0F243E"/>
            <w:hideMark/>
          </w:tcPr>
          <w:p w14:paraId="74771F1D"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b/>
                <w:bCs/>
                <w:sz w:val="12"/>
                <w:szCs w:val="12"/>
                <w:lang w:val="en-US"/>
              </w:rPr>
              <w:t>Status</w:t>
            </w:r>
            <w:r w:rsidRPr="00F8589F">
              <w:rPr>
                <w:rFonts w:ascii="Times New Roman" w:hAnsi="Times New Roman" w:cs="Times New Roman"/>
                <w:sz w:val="12"/>
                <w:szCs w:val="12"/>
              </w:rPr>
              <w:t> </w:t>
            </w:r>
          </w:p>
        </w:tc>
      </w:tr>
      <w:tr w:rsidR="00635716" w:rsidRPr="00F8589F" w14:paraId="22465CC2" w14:textId="77777777">
        <w:trPr>
          <w:trHeight w:val="285"/>
        </w:trPr>
        <w:tc>
          <w:tcPr>
            <w:tcW w:w="1620" w:type="dxa"/>
            <w:tcBorders>
              <w:top w:val="single" w:sz="6" w:space="0" w:color="000000"/>
              <w:left w:val="single" w:sz="6" w:space="0" w:color="000000"/>
              <w:bottom w:val="single" w:sz="6" w:space="0" w:color="000000"/>
              <w:right w:val="single" w:sz="6" w:space="0" w:color="000000"/>
            </w:tcBorders>
            <w:hideMark/>
          </w:tcPr>
          <w:p w14:paraId="06FC1E7A"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Native vs web application</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1129F44E"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This affects the non-functional requirements such as portability, intuitive ease of use, visibility of platform, and 10 second processing delay.</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118E20D7"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It will influence the UX design, implementation, and testing phases.</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148E9D0B"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None.</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3E2B66AB"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If the wrong architecture is chosen, it can have an impact on the performance of the platform since there is a difference in energy consumption between native and web applications (Horn et al., 2023).</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220E8664"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Resolved — React web application selected (D05).</w:t>
            </w:r>
            <w:r w:rsidRPr="00F8589F">
              <w:rPr>
                <w:rFonts w:ascii="Times New Roman" w:hAnsi="Times New Roman" w:cs="Times New Roman"/>
                <w:sz w:val="12"/>
                <w:szCs w:val="12"/>
              </w:rPr>
              <w:t> </w:t>
            </w:r>
          </w:p>
        </w:tc>
      </w:tr>
      <w:tr w:rsidR="00635716" w:rsidRPr="00F8589F" w14:paraId="493371A4" w14:textId="77777777">
        <w:trPr>
          <w:trHeight w:val="285"/>
        </w:trPr>
        <w:tc>
          <w:tcPr>
            <w:tcW w:w="1620" w:type="dxa"/>
            <w:tcBorders>
              <w:top w:val="single" w:sz="6" w:space="0" w:color="000000"/>
              <w:left w:val="single" w:sz="6" w:space="0" w:color="000000"/>
              <w:bottom w:val="single" w:sz="6" w:space="0" w:color="000000"/>
              <w:right w:val="single" w:sz="6" w:space="0" w:color="000000"/>
            </w:tcBorders>
            <w:hideMark/>
          </w:tcPr>
          <w:p w14:paraId="00613B53"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Database failover operation</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2D2D7F26"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This affects the non-functional requirements such as availability, uncorrupted data, and the actual database failover operation must work. Department supervisors and senior management depend on the saved audit trail of staff to ensure accountability.</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45739DC9"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It will influence implementation, testing, deployment, and maintenance.</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7F790D18"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Which deployment platform will host PostgreSQL, and what specific failover/replication mechanism it supports. The level of expected community outages is still unknown.</w:t>
            </w:r>
            <w:r w:rsidRPr="00F8589F">
              <w:rPr>
                <w:rFonts w:ascii="Times New Roman" w:hAnsi="Times New Roman" w:cs="Times New Roman"/>
                <w:sz w:val="12"/>
                <w:szCs w:val="12"/>
              </w:rPr>
              <w:t> </w:t>
            </w:r>
          </w:p>
          <w:p w14:paraId="61F85331"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0E9C7A36"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If a real database failure occurs and the system does not apply the failover operation correctly, users could lose significant front-end facing functionality, i.e. data on the pages will not display (Datadog, 2025).</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24092350"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In progress</w:t>
            </w:r>
            <w:r w:rsidRPr="00F8589F">
              <w:rPr>
                <w:rFonts w:ascii="Times New Roman" w:hAnsi="Times New Roman" w:cs="Times New Roman"/>
                <w:sz w:val="12"/>
                <w:szCs w:val="12"/>
              </w:rPr>
              <w:t> </w:t>
            </w:r>
          </w:p>
          <w:p w14:paraId="0D9C88A9"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rPr>
              <w:t> </w:t>
            </w:r>
          </w:p>
        </w:tc>
      </w:tr>
      <w:tr w:rsidR="00635716" w:rsidRPr="00F8589F" w14:paraId="3A2314DB" w14:textId="77777777">
        <w:trPr>
          <w:trHeight w:val="285"/>
        </w:trPr>
        <w:tc>
          <w:tcPr>
            <w:tcW w:w="1620" w:type="dxa"/>
            <w:tcBorders>
              <w:top w:val="single" w:sz="6" w:space="0" w:color="000000"/>
              <w:left w:val="single" w:sz="6" w:space="0" w:color="000000"/>
              <w:bottom w:val="single" w:sz="6" w:space="0" w:color="000000"/>
              <w:right w:val="single" w:sz="6" w:space="0" w:color="000000"/>
            </w:tcBorders>
            <w:hideMark/>
          </w:tcPr>
          <w:p w14:paraId="559B8DE6"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Free tier development</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4B9F8AEB"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This affects the level of data insights that management can use for the system specified in the stakeholder analysis. It also affects non-functional requirements such as the speed of processing service requests and the user experience of a requester.</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42A13575"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 xml:space="preserve">It will influence </w:t>
            </w:r>
            <w:proofErr w:type="gramStart"/>
            <w:r w:rsidRPr="00F8589F">
              <w:rPr>
                <w:rFonts w:ascii="Times New Roman" w:hAnsi="Times New Roman" w:cs="Times New Roman"/>
                <w:sz w:val="12"/>
                <w:szCs w:val="12"/>
                <w:lang w:val="en-US"/>
              </w:rPr>
              <w:t>the UX</w:t>
            </w:r>
            <w:proofErr w:type="gramEnd"/>
            <w:r w:rsidRPr="00F8589F">
              <w:rPr>
                <w:rFonts w:ascii="Times New Roman" w:hAnsi="Times New Roman" w:cs="Times New Roman"/>
                <w:sz w:val="12"/>
                <w:szCs w:val="12"/>
                <w:lang w:val="en-US"/>
              </w:rPr>
              <w:t xml:space="preserve"> design, implementation, testing, deployment, and maintenance.</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3D8CAC69"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 xml:space="preserve">IDE, programming frameworks and </w:t>
            </w:r>
            <w:proofErr w:type="gramStart"/>
            <w:r w:rsidRPr="00F8589F">
              <w:rPr>
                <w:rFonts w:ascii="Times New Roman" w:hAnsi="Times New Roman" w:cs="Times New Roman"/>
                <w:sz w:val="12"/>
                <w:szCs w:val="12"/>
                <w:lang w:val="en-US"/>
              </w:rPr>
              <w:t>database</w:t>
            </w:r>
            <w:proofErr w:type="gramEnd"/>
            <w:r w:rsidRPr="00F8589F">
              <w:rPr>
                <w:rFonts w:ascii="Times New Roman" w:hAnsi="Times New Roman" w:cs="Times New Roman"/>
                <w:sz w:val="12"/>
                <w:szCs w:val="12"/>
                <w:lang w:val="en-US"/>
              </w:rPr>
              <w:t xml:space="preserve"> are selected which are Visual Studio Code, React, and PostgreSQL. However, the free hosting platform still needs to be selected.</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58BF08FE"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If the team relies solely on a single vendor for free-tier development tools, it could face a challenge where the vendor forces all non-enterprise users to pay from a specific date (Heroku, n.d.).</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33C8D1BD"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In progress — tooling confirmed; hosting platform still open.</w:t>
            </w:r>
            <w:r w:rsidRPr="00F8589F">
              <w:rPr>
                <w:rFonts w:ascii="Times New Roman" w:hAnsi="Times New Roman" w:cs="Times New Roman"/>
                <w:sz w:val="12"/>
                <w:szCs w:val="12"/>
              </w:rPr>
              <w:t> </w:t>
            </w:r>
          </w:p>
        </w:tc>
      </w:tr>
      <w:tr w:rsidR="00635716" w:rsidRPr="00F8589F" w14:paraId="0C84BB0C" w14:textId="77777777">
        <w:trPr>
          <w:trHeight w:val="285"/>
        </w:trPr>
        <w:tc>
          <w:tcPr>
            <w:tcW w:w="1620" w:type="dxa"/>
            <w:tcBorders>
              <w:top w:val="single" w:sz="6" w:space="0" w:color="000000"/>
              <w:left w:val="single" w:sz="6" w:space="0" w:color="000000"/>
              <w:bottom w:val="single" w:sz="6" w:space="0" w:color="000000"/>
              <w:right w:val="single" w:sz="6" w:space="0" w:color="000000"/>
            </w:tcBorders>
            <w:hideMark/>
          </w:tcPr>
          <w:p w14:paraId="6EE3DD30"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Scalability</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36A96D27"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This affects the non-functional requirements such as the concurrent number of users, processing time of 10 seconds, as well as the audit trail functional requirement.</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1CCD4E9B"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It will influence design, implementation, testing, deployment, and maintenance.</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0B4D5732"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Only the community's growth rate beyond the 210-concurrent-user target (NFR-013) is not known;  architecture style is resolved, which is layered, references D05.</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3116C632"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 xml:space="preserve">The database can be designed of poor quality where it tries to query large amounts of requesters' service requests, causing over-fetching if there are not many requesters at all (Çetin &amp; </w:t>
            </w:r>
            <w:proofErr w:type="spellStart"/>
            <w:r w:rsidRPr="00F8589F">
              <w:rPr>
                <w:rFonts w:ascii="Times New Roman" w:hAnsi="Times New Roman" w:cs="Times New Roman"/>
                <w:sz w:val="12"/>
                <w:szCs w:val="12"/>
                <w:lang w:val="en-US"/>
              </w:rPr>
              <w:t>Eldenk</w:t>
            </w:r>
            <w:proofErr w:type="spellEnd"/>
            <w:r w:rsidRPr="00F8589F">
              <w:rPr>
                <w:rFonts w:ascii="Times New Roman" w:hAnsi="Times New Roman" w:cs="Times New Roman"/>
                <w:sz w:val="12"/>
                <w:szCs w:val="12"/>
                <w:lang w:val="en-US"/>
              </w:rPr>
              <w:t>, 2025).</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51BE4C5F"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In progress</w:t>
            </w:r>
            <w:r w:rsidRPr="00F8589F">
              <w:rPr>
                <w:rFonts w:ascii="Times New Roman" w:hAnsi="Times New Roman" w:cs="Times New Roman"/>
                <w:sz w:val="12"/>
                <w:szCs w:val="12"/>
              </w:rPr>
              <w:t> </w:t>
            </w:r>
          </w:p>
        </w:tc>
      </w:tr>
      <w:tr w:rsidR="00635716" w:rsidRPr="00F8589F" w14:paraId="5C3D59C2" w14:textId="77777777">
        <w:trPr>
          <w:trHeight w:val="285"/>
        </w:trPr>
        <w:tc>
          <w:tcPr>
            <w:tcW w:w="1620" w:type="dxa"/>
            <w:tcBorders>
              <w:top w:val="single" w:sz="6" w:space="0" w:color="000000"/>
              <w:left w:val="single" w:sz="6" w:space="0" w:color="000000"/>
              <w:bottom w:val="single" w:sz="6" w:space="0" w:color="000000"/>
              <w:right w:val="single" w:sz="6" w:space="0" w:color="000000"/>
            </w:tcBorders>
            <w:hideMark/>
          </w:tcPr>
          <w:p w14:paraId="5B08695D"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Security</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6CBF02DA"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This will affect the non-functional requirements such as role-based access, user credentials and history protection, and password/authentication handling. Supervisors and management require oversight data but must not have request information exposed.</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76DD5EE0"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It will influence the implementation, testing, deployment, and maintenance phases, and the RTM status of REQ-023, REQ-030 and REQ-033.</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258DB6FB"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If the email provider will expect costs whenever notification tokens are sent via email to establish user identity for first-time user registration.</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48B17B8C"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Surprise costs of email provider for tokens will force the team to move to an approach where the notification token should be simulated instead, degrading real notification quality.</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5BDD84D2"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In progress</w:t>
            </w:r>
            <w:r w:rsidRPr="00F8589F">
              <w:rPr>
                <w:rFonts w:ascii="Times New Roman" w:hAnsi="Times New Roman" w:cs="Times New Roman"/>
                <w:sz w:val="12"/>
                <w:szCs w:val="12"/>
              </w:rPr>
              <w:t> </w:t>
            </w:r>
          </w:p>
        </w:tc>
      </w:tr>
      <w:tr w:rsidR="00635716" w:rsidRPr="00F8589F" w14:paraId="7F2616F6" w14:textId="77777777">
        <w:trPr>
          <w:trHeight w:val="285"/>
        </w:trPr>
        <w:tc>
          <w:tcPr>
            <w:tcW w:w="1620" w:type="dxa"/>
            <w:tcBorders>
              <w:top w:val="single" w:sz="6" w:space="0" w:color="000000"/>
              <w:left w:val="single" w:sz="6" w:space="0" w:color="000000"/>
              <w:bottom w:val="single" w:sz="6" w:space="0" w:color="000000"/>
              <w:right w:val="single" w:sz="6" w:space="0" w:color="000000"/>
            </w:tcBorders>
            <w:hideMark/>
          </w:tcPr>
          <w:p w14:paraId="38A94FC7"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External communication</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52665923"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Status updates must be communicated to requesters via notifications (NFR-002); email is the most likely first channel given the R0 budget constraint (ASR-001).</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3B76775F"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Will have an impact on the Notification module's provider adapters (D11) as well as the AI Usage Register if AI compares between providers.</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4ACE4151"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What free email provider and second communication channel will be used and if the second channel should be added or not.</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65AC970A"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Notification boundary, which is designed in the D11, does not have an adapter, having NFR-002 unimplemented, since the provider was not selected yet.</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292B59F0"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In progress</w:t>
            </w:r>
            <w:r w:rsidRPr="00F8589F">
              <w:rPr>
                <w:rFonts w:ascii="Times New Roman" w:hAnsi="Times New Roman" w:cs="Times New Roman"/>
                <w:sz w:val="12"/>
                <w:szCs w:val="12"/>
              </w:rPr>
              <w:t> </w:t>
            </w:r>
          </w:p>
        </w:tc>
      </w:tr>
      <w:tr w:rsidR="00635716" w:rsidRPr="00F8589F" w14:paraId="375E966A" w14:textId="77777777">
        <w:trPr>
          <w:trHeight w:val="1095"/>
        </w:trPr>
        <w:tc>
          <w:tcPr>
            <w:tcW w:w="1620" w:type="dxa"/>
            <w:tcBorders>
              <w:top w:val="single" w:sz="6" w:space="0" w:color="000000"/>
              <w:left w:val="single" w:sz="6" w:space="0" w:color="000000"/>
              <w:bottom w:val="single" w:sz="6" w:space="0" w:color="000000"/>
              <w:right w:val="single" w:sz="6" w:space="0" w:color="000000"/>
            </w:tcBorders>
            <w:hideMark/>
          </w:tcPr>
          <w:p w14:paraId="734BE635"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Audit/diagnostic log retention and archiving</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41CB6F6C"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 xml:space="preserve">The logging table is meant for diagnostic purposes and records any rows which </w:t>
            </w:r>
            <w:proofErr w:type="gramStart"/>
            <w:r w:rsidRPr="00F8589F">
              <w:rPr>
                <w:rFonts w:ascii="Times New Roman" w:hAnsi="Times New Roman" w:cs="Times New Roman"/>
                <w:sz w:val="12"/>
                <w:szCs w:val="12"/>
                <w:lang w:val="en-US"/>
              </w:rPr>
              <w:t>has</w:t>
            </w:r>
            <w:proofErr w:type="gramEnd"/>
            <w:r w:rsidRPr="00F8589F">
              <w:rPr>
                <w:rFonts w:ascii="Times New Roman" w:hAnsi="Times New Roman" w:cs="Times New Roman"/>
                <w:sz w:val="12"/>
                <w:szCs w:val="12"/>
                <w:lang w:val="en-US"/>
              </w:rPr>
              <w:t xml:space="preserve"> CRUD implemented on it.</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347E58ED"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 xml:space="preserve">Have an impact on deployment platform </w:t>
            </w:r>
            <w:proofErr w:type="gramStart"/>
            <w:r w:rsidRPr="00F8589F">
              <w:rPr>
                <w:rFonts w:ascii="Times New Roman" w:hAnsi="Times New Roman" w:cs="Times New Roman"/>
                <w:sz w:val="12"/>
                <w:szCs w:val="12"/>
                <w:lang w:val="en-US"/>
              </w:rPr>
              <w:t>decision</w:t>
            </w:r>
            <w:proofErr w:type="gramEnd"/>
            <w:r w:rsidRPr="00F8589F">
              <w:rPr>
                <w:rFonts w:ascii="Times New Roman" w:hAnsi="Times New Roman" w:cs="Times New Roman"/>
                <w:sz w:val="12"/>
                <w:szCs w:val="12"/>
                <w:lang w:val="en-US"/>
              </w:rPr>
              <w:t>, the backup method, and R11/R12.</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6E265C01"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What is the time that logging records can be kept before it enters retention or deletion, and what hosting platform can support that amount.</w:t>
            </w: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50A47F62"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 xml:space="preserve">If left without management, </w:t>
            </w:r>
            <w:r w:rsidRPr="00F8589F">
              <w:rPr>
                <w:rFonts w:ascii="Times New Roman" w:hAnsi="Times New Roman" w:cs="Times New Roman"/>
                <w:i/>
                <w:iCs/>
                <w:sz w:val="12"/>
                <w:szCs w:val="12"/>
                <w:lang w:val="en-US"/>
              </w:rPr>
              <w:t xml:space="preserve">logging </w:t>
            </w:r>
            <w:r w:rsidRPr="00F8589F">
              <w:rPr>
                <w:rFonts w:ascii="Times New Roman" w:hAnsi="Times New Roman" w:cs="Times New Roman"/>
                <w:sz w:val="12"/>
                <w:szCs w:val="12"/>
                <w:lang w:val="en-US"/>
              </w:rPr>
              <w:t xml:space="preserve">can cause more overloaded writes than operational tables, other entities such as </w:t>
            </w:r>
            <w:r w:rsidRPr="00F8589F">
              <w:rPr>
                <w:rFonts w:ascii="Times New Roman" w:hAnsi="Times New Roman" w:cs="Times New Roman"/>
                <w:i/>
                <w:iCs/>
                <w:sz w:val="12"/>
                <w:szCs w:val="12"/>
                <w:lang w:val="en-US"/>
              </w:rPr>
              <w:t>user</w:t>
            </w:r>
            <w:r w:rsidRPr="00F8589F">
              <w:rPr>
                <w:rFonts w:ascii="Times New Roman" w:hAnsi="Times New Roman" w:cs="Times New Roman"/>
                <w:sz w:val="12"/>
                <w:szCs w:val="12"/>
                <w:lang w:val="en-US"/>
              </w:rPr>
              <w:t xml:space="preserve">, </w:t>
            </w:r>
            <w:proofErr w:type="spellStart"/>
            <w:r w:rsidRPr="00F8589F">
              <w:rPr>
                <w:rFonts w:ascii="Times New Roman" w:hAnsi="Times New Roman" w:cs="Times New Roman"/>
                <w:i/>
                <w:iCs/>
                <w:sz w:val="12"/>
                <w:szCs w:val="12"/>
                <w:lang w:val="en-US"/>
              </w:rPr>
              <w:t>service_request</w:t>
            </w:r>
            <w:proofErr w:type="spellEnd"/>
            <w:r w:rsidRPr="00F8589F">
              <w:rPr>
                <w:rFonts w:ascii="Times New Roman" w:hAnsi="Times New Roman" w:cs="Times New Roman"/>
                <w:sz w:val="12"/>
                <w:szCs w:val="12"/>
                <w:lang w:val="en-US"/>
              </w:rPr>
              <w:t xml:space="preserve">, and </w:t>
            </w:r>
            <w:r w:rsidRPr="00F8589F">
              <w:rPr>
                <w:rFonts w:ascii="Times New Roman" w:hAnsi="Times New Roman" w:cs="Times New Roman"/>
                <w:i/>
                <w:iCs/>
                <w:sz w:val="12"/>
                <w:szCs w:val="12"/>
                <w:lang w:val="en-US"/>
              </w:rPr>
              <w:t xml:space="preserve">action </w:t>
            </w:r>
            <w:r w:rsidRPr="00F8589F">
              <w:rPr>
                <w:rFonts w:ascii="Times New Roman" w:hAnsi="Times New Roman" w:cs="Times New Roman"/>
                <w:sz w:val="12"/>
                <w:szCs w:val="12"/>
                <w:lang w:val="en-US"/>
              </w:rPr>
              <w:t>can be degraded without realization why.</w:t>
            </w:r>
            <w:r w:rsidRPr="00F8589F">
              <w:rPr>
                <w:rFonts w:ascii="Times New Roman" w:hAnsi="Times New Roman" w:cs="Times New Roman"/>
                <w:sz w:val="12"/>
                <w:szCs w:val="12"/>
              </w:rPr>
              <w:t> </w:t>
            </w:r>
          </w:p>
          <w:p w14:paraId="51B7B787"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rPr>
              <w:t> </w:t>
            </w:r>
          </w:p>
        </w:tc>
        <w:tc>
          <w:tcPr>
            <w:tcW w:w="1620" w:type="dxa"/>
            <w:tcBorders>
              <w:top w:val="single" w:sz="6" w:space="0" w:color="000000"/>
              <w:left w:val="single" w:sz="6" w:space="0" w:color="000000"/>
              <w:bottom w:val="single" w:sz="6" w:space="0" w:color="000000"/>
              <w:right w:val="single" w:sz="6" w:space="0" w:color="000000"/>
            </w:tcBorders>
            <w:hideMark/>
          </w:tcPr>
          <w:p w14:paraId="1008A996" w14:textId="77777777" w:rsidR="00635716" w:rsidRPr="00F8589F" w:rsidRDefault="00635716" w:rsidP="00635716">
            <w:pPr>
              <w:rPr>
                <w:rFonts w:ascii="Times New Roman" w:hAnsi="Times New Roman" w:cs="Times New Roman"/>
                <w:sz w:val="12"/>
                <w:szCs w:val="12"/>
              </w:rPr>
            </w:pPr>
            <w:r w:rsidRPr="00F8589F">
              <w:rPr>
                <w:rFonts w:ascii="Times New Roman" w:hAnsi="Times New Roman" w:cs="Times New Roman"/>
                <w:sz w:val="12"/>
                <w:szCs w:val="12"/>
                <w:lang w:val="en-US"/>
              </w:rPr>
              <w:t>Not yet started</w:t>
            </w:r>
            <w:r w:rsidRPr="00F8589F">
              <w:rPr>
                <w:rFonts w:ascii="Times New Roman" w:hAnsi="Times New Roman" w:cs="Times New Roman"/>
                <w:sz w:val="12"/>
                <w:szCs w:val="12"/>
              </w:rPr>
              <w:t> </w:t>
            </w:r>
          </w:p>
        </w:tc>
      </w:tr>
    </w:tbl>
    <w:p w14:paraId="28027585" w14:textId="77777777" w:rsidR="00D3211B" w:rsidRPr="00A46D92" w:rsidRDefault="00D3211B">
      <w:pPr>
        <w:rPr>
          <w:rFonts w:ascii="Times New Roman" w:hAnsi="Times New Roman" w:cs="Times New Roman"/>
        </w:rPr>
      </w:pPr>
    </w:p>
    <w:sectPr w:rsidR="00D3211B" w:rsidRPr="00A46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1B"/>
    <w:rsid w:val="00635716"/>
    <w:rsid w:val="00A46D92"/>
    <w:rsid w:val="00D3211B"/>
    <w:rsid w:val="00EF6C6D"/>
    <w:rsid w:val="00F858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E07A7"/>
  <w15:chartTrackingRefBased/>
  <w15:docId w15:val="{047B3FCA-4D3C-46AE-8E41-C57C9C042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11B"/>
    <w:rPr>
      <w:rFonts w:eastAsiaTheme="majorEastAsia" w:cstheme="majorBidi"/>
      <w:color w:val="272727" w:themeColor="text1" w:themeTint="D8"/>
    </w:rPr>
  </w:style>
  <w:style w:type="paragraph" w:styleId="Title">
    <w:name w:val="Title"/>
    <w:basedOn w:val="Normal"/>
    <w:next w:val="Normal"/>
    <w:link w:val="TitleChar"/>
    <w:uiPriority w:val="10"/>
    <w:qFormat/>
    <w:rsid w:val="00D32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11B"/>
    <w:pPr>
      <w:spacing w:before="160"/>
      <w:jc w:val="center"/>
    </w:pPr>
    <w:rPr>
      <w:i/>
      <w:iCs/>
      <w:color w:val="404040" w:themeColor="text1" w:themeTint="BF"/>
    </w:rPr>
  </w:style>
  <w:style w:type="character" w:customStyle="1" w:styleId="QuoteChar">
    <w:name w:val="Quote Char"/>
    <w:basedOn w:val="DefaultParagraphFont"/>
    <w:link w:val="Quote"/>
    <w:uiPriority w:val="29"/>
    <w:rsid w:val="00D3211B"/>
    <w:rPr>
      <w:i/>
      <w:iCs/>
      <w:color w:val="404040" w:themeColor="text1" w:themeTint="BF"/>
    </w:rPr>
  </w:style>
  <w:style w:type="paragraph" w:styleId="ListParagraph">
    <w:name w:val="List Paragraph"/>
    <w:basedOn w:val="Normal"/>
    <w:uiPriority w:val="34"/>
    <w:qFormat/>
    <w:rsid w:val="00D3211B"/>
    <w:pPr>
      <w:ind w:left="720"/>
      <w:contextualSpacing/>
    </w:pPr>
  </w:style>
  <w:style w:type="character" w:styleId="IntenseEmphasis">
    <w:name w:val="Intense Emphasis"/>
    <w:basedOn w:val="DefaultParagraphFont"/>
    <w:uiPriority w:val="21"/>
    <w:qFormat/>
    <w:rsid w:val="00D3211B"/>
    <w:rPr>
      <w:i/>
      <w:iCs/>
      <w:color w:val="0F4761" w:themeColor="accent1" w:themeShade="BF"/>
    </w:rPr>
  </w:style>
  <w:style w:type="paragraph" w:styleId="IntenseQuote">
    <w:name w:val="Intense Quote"/>
    <w:basedOn w:val="Normal"/>
    <w:next w:val="Normal"/>
    <w:link w:val="IntenseQuoteChar"/>
    <w:uiPriority w:val="30"/>
    <w:qFormat/>
    <w:rsid w:val="00D32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11B"/>
    <w:rPr>
      <w:i/>
      <w:iCs/>
      <w:color w:val="0F4761" w:themeColor="accent1" w:themeShade="BF"/>
    </w:rPr>
  </w:style>
  <w:style w:type="character" w:styleId="IntenseReference">
    <w:name w:val="Intense Reference"/>
    <w:basedOn w:val="DefaultParagraphFont"/>
    <w:uiPriority w:val="32"/>
    <w:qFormat/>
    <w:rsid w:val="00D321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Benno Weideman</dc:creator>
  <cp:keywords/>
  <dc:description/>
  <cp:lastModifiedBy>Benno Weideman</cp:lastModifiedBy>
  <cp:revision>4</cp:revision>
  <dcterms:created xsi:type="dcterms:W3CDTF">2026-09-30T19:52:00Z</dcterms:created>
  <dcterms:modified xsi:type="dcterms:W3CDTF">2026-09-30T19:53:00Z</dcterms:modified>
</cp:coreProperties>
</file>