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48"/>
        <w:gridCol w:w="792"/>
        <w:gridCol w:w="1048"/>
        <w:gridCol w:w="918"/>
        <w:gridCol w:w="1183"/>
        <w:gridCol w:w="960"/>
        <w:gridCol w:w="834"/>
        <w:gridCol w:w="741"/>
        <w:gridCol w:w="857"/>
        <w:gridCol w:w="1125"/>
      </w:tblGrid>
      <w:tr w:rsidR="00D634E2" w:rsidRPr="00B51A47" w14:paraId="336FBEFC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06176F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Decision ID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061EC31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Context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652F3AD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Constraints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5FF25DF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Alternatives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00BCE94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Decision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000FBA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Rationale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10C3012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Trade-offs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240ED8BB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Risks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689D48E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Evidence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71320" w:themeFill="text2" w:themeFillShade="80"/>
            <w:tcMar>
              <w:left w:w="108" w:type="dxa"/>
              <w:right w:w="108" w:type="dxa"/>
            </w:tcMar>
          </w:tcPr>
          <w:p w14:paraId="7503F23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b/>
                <w:color w:val="FFFFFF" w:themeColor="background1"/>
                <w:sz w:val="12"/>
                <w:szCs w:val="12"/>
              </w:rPr>
              <w:t>Later Consequence</w:t>
            </w:r>
          </w:p>
        </w:tc>
      </w:tr>
      <w:tr w:rsidR="00D634E2" w:rsidRPr="00B51A47" w14:paraId="0A47D19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0FE9A6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275EE2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Repository setup and team collaboration workflow.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3E49B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Mandatory 3-student team size and strict GitHub assessment criteria.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9F2C33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Unprotected main branch or single-reviewer sign-off.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E6F933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Adopt a protected main branch with a mandatory two-reviewer approval model.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708EF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Enforces peer accountability and prevents uncontrolled code/documentation from entering the baseline.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E293A40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Slower initial integration speed due to review bottlenecks.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AC7CA6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PRs sitting unreviewed, risking schedule delays.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36A62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Branch protection rules applied in GitHub settings.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D90E25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A</w:t>
            </w:r>
            <w:r w:rsidRPr="00E57C3B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ctive &amp; Extended in M2:</w:t>
            </w:r>
            <w:r w:rsidRPr="00E57C3B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Continues to govern all M2 code and PED branches (CON-RES-04, CON-GOV-01). Extended in M2 using Assignment 2 Task 4 research by introducing a structured peer-review checklist and automated GitHub Actions CI quality gates (npm ci, build, lint, unit tests) on Pull Requests (D07, Section 7.4).</w:t>
            </w:r>
          </w:p>
        </w:tc>
      </w:tr>
      <w:tr w:rsidR="00D634E2" w:rsidRPr="00B51A47" w14:paraId="4D1F2CA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0413BB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19DBB5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Technology stack and database selection.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28F83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1 boundaries explicitly prohibit final technology selection.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C6FE4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Select a framework immediately to begin coding.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16529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Defer the final technology stack selection to Milestone 2.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6B78D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Prevents premature technical commitment before requirements and operational constraints are baselined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07D854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Delays technical experimentation.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F02CA8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Teams may face a steeper learning curve in M2 once the stack is locked.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20B034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Recorded as a deferred decision in PED v1.0.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148AD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9E7BEF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Superseded in M2 by D05 and D08:</w:t>
            </w:r>
            <w:r w:rsidRPr="009E7BEF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Resolved once M2 Architecturally Significant Requirements (ASR-001–ASR-010) and Assignment 2 persistence/integration research were completed, resulting in the baselined PERN stack (D05, Section 9) and consolidated 4-table PostgreSQL schema (D08, Section 8)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</w:t>
            </w:r>
          </w:p>
        </w:tc>
      </w:tr>
      <w:tr w:rsidR="00D634E2" w:rsidRPr="00B51A47" w14:paraId="5CE91B8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001C921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8DE07D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Scope of detailed UI wireframes, DB schemas, and APIs.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0E9EBA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1 is restricted to an engineering and requirements baseline.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027A7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Creating mockups and schemas to get a head start.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F216A1E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Exclude UI, DB schemas, and APIs from Milestone 1 deliverables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FF0EBE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Keeps the team focused entirely on defining requirements, risks, and constraints.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9698B8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Less visual context for stakeholders during M1.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6D8D3A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Misalignment on UI expectations in M2.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9CFE7B9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Scope baseline boundaries in PED v1.0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F9958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>
              <w:rPr>
                <w:rFonts w:ascii="Times New Roman" w:eastAsia="cal" w:hAnsi="Times New Roman" w:cs="Times New Roman"/>
                <w:sz w:val="12"/>
                <w:szCs w:val="12"/>
              </w:rPr>
              <w:t>Superseded/ Fulfilled in M2: Resolved in PED v2.0 through the baseline ERD and persistence model, Information Architecture and clickable wireframes as well as the REST API Endpoint Contract Baseline (Section 12, D06).</w:t>
            </w:r>
          </w:p>
        </w:tc>
      </w:tr>
      <w:tr w:rsidR="00D634E2" w:rsidRPr="00B51A47" w14:paraId="6A444558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5D2D812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D04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4B8214D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Standardization of AI usage and verification.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6E25D11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AI output is not authoritative evidence and requires human verification.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1923B4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Ad-hoc tracking or total prohibition of AI tools.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7B71A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Mandate the AI Usage Register with specific naming conventions (e.g., AI-RES).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C3F58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Maintains academic integrity, transparency, and ensures human accountability for all AI-assisted work.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AEF810" w14:textId="77777777" w:rsidR="00D634E2" w:rsidRPr="00B51A47" w:rsidRDefault="00D634E2" w:rsidP="005A0EB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Administrative overhead in logging queries.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56F443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Team members forget to log minor AI queries.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99F4D6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AI Usage Register document.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528851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B2618F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 xml:space="preserve">Active &amp; </w:t>
            </w:r>
            <w:proofErr w:type="gramStart"/>
            <w:r w:rsidRPr="00B2618F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Expanded</w:t>
            </w:r>
            <w:proofErr w:type="gramEnd"/>
            <w:r w:rsidRPr="00B2618F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 xml:space="preserve"> in M2:</w:t>
            </w:r>
            <w:r w:rsidRPr="00B2618F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Continued in Section 21 (AI-016 to AI-023) to govern and independently verify M2 code generation, architecture diagrams, database connection setup, and peer-reviewed academic citations (CON-SEC-06, CON-GOV-03)</w:t>
            </w:r>
          </w:p>
        </w:tc>
      </w:tr>
      <w:tr w:rsidR="00D634E2" w:rsidRPr="00B51A47" w14:paraId="62AE34C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8252A77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DB0DD8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2 Technology Stack Commitment (supersedes M1 deferred decision D02).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AEDF8E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D34865">
              <w:rPr>
                <w:rFonts w:ascii="Times New Roman" w:eastAsia="cal" w:hAnsi="Times New Roman" w:cs="Times New Roman"/>
                <w:sz w:val="12"/>
                <w:szCs w:val="12"/>
              </w:rPr>
              <w:t>ASR-001 (R0 budget), CON-RES-01 (3-person team), ASR-006 (210 users), ASR-007 (ACID integrity), ASR-010 (cross-device UI)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C2F406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Native mobile apps + NoSQL (MongoDB) or enterprise Java/.NET stack.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7184ED2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Baseline the </w:t>
            </w:r>
            <w:r w:rsidRPr="000455B8">
              <w:rPr>
                <w:rFonts w:ascii="Times New Roman" w:eastAsia="cal" w:hAnsi="Times New Roman" w:cs="Times New Roman"/>
                <w:b/>
                <w:bCs/>
                <w:sz w:val="12"/>
                <w:szCs w:val="12"/>
              </w:rPr>
              <w:t>PERN stack</w:t>
            </w:r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(PostgreSQL 16, Express 4, React 18, Node.js 20 LTS) with </w:t>
            </w:r>
            <w:proofErr w:type="spellStart"/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>pg</w:t>
            </w:r>
            <w:proofErr w:type="spellEnd"/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, </w:t>
            </w:r>
            <w:proofErr w:type="spellStart"/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>bcrypt</w:t>
            </w:r>
            <w:proofErr w:type="spellEnd"/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/crypto, </w:t>
            </w:r>
            <w:proofErr w:type="spellStart"/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>jsonwebtoken</w:t>
            </w:r>
            <w:proofErr w:type="spellEnd"/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, nodemailer, and npm ci </w:t>
            </w:r>
            <w:proofErr w:type="spellStart"/>
            <w:r w:rsidRPr="000455B8">
              <w:rPr>
                <w:rFonts w:ascii="Times New Roman" w:eastAsia="cal" w:hAnsi="Times New Roman" w:cs="Times New Roman"/>
                <w:sz w:val="12"/>
                <w:szCs w:val="12"/>
              </w:rPr>
              <w:t>lockfiles</w:t>
            </w:r>
            <w:proofErr w:type="spellEnd"/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948115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proofErr w:type="gram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Open-source</w:t>
            </w:r>
            <w:proofErr w:type="gram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(R0 cost), unified JavaScript across client/server, native ACID transaction support in PostgreSQL, and responsive web reach across all devices (Horn et al., 2023; 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Hellerstein, Stonebraker and Hamilton, 2007)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28D31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lastRenderedPageBreak/>
              <w:t>Less schema flexibility than NoSQL; requires strict npm supply-chain auditing (npm audit)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F35F980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>
              <w:rPr>
                <w:rFonts w:ascii="Times New Roman" w:eastAsia="cal" w:hAnsi="Times New Roman" w:cs="Times New Roman"/>
                <w:sz w:val="12"/>
                <w:szCs w:val="12"/>
              </w:rPr>
              <w:t>T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ransitive npm package vulnerabilities (CON-SEC-05); free-tier hosting limits (R04)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4B155DB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PED v2.0 Section 9; </w:t>
            </w:r>
            <w:proofErr w:type="spellStart"/>
            <w:proofErr w:type="gram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package.json</w:t>
            </w:r>
            <w:proofErr w:type="spellEnd"/>
            <w:proofErr w:type="gram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, package-</w:t>
            </w:r>
            <w:proofErr w:type="spellStart"/>
            <w:proofErr w:type="gram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lock.json</w:t>
            </w:r>
            <w:proofErr w:type="spellEnd"/>
            <w:proofErr w:type="gram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, and initial backend/frontend bootstrap in GitHub repository.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37686F" w14:textId="77777777" w:rsidR="00D634E2" w:rsidRPr="00B51A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All M2/M3 modules (User, Request, Staff, Admin) and CI checks must conform to the PERN baseline</w:t>
            </w:r>
          </w:p>
        </w:tc>
      </w:tr>
      <w:tr w:rsidR="00D634E2" w:rsidRPr="00B51A47" w14:paraId="07674DB2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2C8B71" w14:textId="77777777" w:rsidR="00D634E2" w:rsidRPr="00EB38E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D06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7EE4843" w14:textId="77777777" w:rsidR="00D634E2" w:rsidRPr="00432FFF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4603A6">
              <w:rPr>
                <w:rFonts w:ascii="Times New Roman" w:eastAsia="cal" w:hAnsi="Times New Roman" w:cs="Times New Roman"/>
                <w:sz w:val="12"/>
                <w:szCs w:val="12"/>
              </w:rPr>
              <w:t>Client-Server Integration Mechanism &amp; Data Validation Boundary for Request Submission and Status Updates.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5726DA" w14:textId="65CA37D7" w:rsidR="00D634E2" w:rsidRPr="00090D43" w:rsidRDefault="00D566A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D566A2">
              <w:rPr>
                <w:rFonts w:ascii="Times New Roman" w:eastAsia="cal" w:hAnsi="Times New Roman" w:cs="Times New Roman"/>
                <w:sz w:val="12"/>
                <w:szCs w:val="12"/>
              </w:rPr>
              <w:t>ASR-005 (&lt;10/60s (REQ-019, REQ-027)), ASR-007 (REQ-022 zero corruption), ASR-008 (notifications scope); CON-SEC-03 (RBAC)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97A6459" w14:textId="77777777" w:rsidR="00D634E2" w:rsidRPr="00090D4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Asynchronous message broker (RabbitMQ/Kafka) or single-layer validation with read-caching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7685438" w14:textId="77777777" w:rsidR="00D634E2" w:rsidRPr="00110A1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Adopt a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Synchronous HTTP/REST JSON API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(/api/v1/) with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hybrid validation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(Express fail-fast + PostgreSQL ACID constraints) and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exclude read-caching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on write validation paths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873B06D" w14:textId="77777777" w:rsidR="00D634E2" w:rsidRPr="00110A1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Provides immediate transactional confirmation to the React UI without message-broker complexity (De </w:t>
            </w:r>
            <w:proofErr w:type="spell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Iasio</w:t>
            </w:r>
            <w:proofErr w:type="spell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and Zimeo, 2021; Nookala, 2023) and prevents stale-cache duplicate bugs (Bailis et al., 2012).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9441565" w14:textId="77777777" w:rsidR="00D634E2" w:rsidRPr="00110A1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Tight temporal coupling between React client and Express server during submission.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3F5AEB0" w14:textId="77777777" w:rsidR="00D634E2" w:rsidRPr="00B33790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Downstream DB slowness directly impacts API latency (R03, R06)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33B7E77" w14:textId="77777777" w:rsidR="00D634E2" w:rsidRPr="00B33790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PED v2.0 Section 1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2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; A2 Task 2 &amp; Task 3 research; Express route/controller artefacts.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C6F5D9D" w14:textId="77777777" w:rsidR="00D634E2" w:rsidRPr="001B0B76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External notifications (ASR-008) 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are isolated via the D11 Strategy/Adapter and dispatched after commit (D12</w:t>
            </w:r>
            <w:proofErr w:type="gramStart"/>
            <w:r>
              <w:rPr>
                <w:rFonts w:ascii="Times New Roman" w:eastAsia="cal" w:hAnsi="Times New Roman" w:cs="Times New Roman"/>
                <w:sz w:val="12"/>
                <w:szCs w:val="12"/>
              </w:rPr>
              <w:t>)</w:t>
            </w:r>
            <w:proofErr w:type="gramEnd"/>
            <w:r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so they never block synchronous REST responses</w:t>
            </w:r>
          </w:p>
        </w:tc>
      </w:tr>
      <w:tr w:rsidR="00D634E2" w:rsidRPr="00B51A47" w14:paraId="318A2F63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1C4A4E" w14:textId="77777777" w:rsidR="00D634E2" w:rsidRPr="00B11F1D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D07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55B655B" w14:textId="77777777" w:rsidR="00D634E2" w:rsidRPr="00B11F1D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2 Deployment Compatibility &amp; Environment Configuration Strategy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E4C37CA" w14:textId="7C9884BD" w:rsidR="00D634E2" w:rsidRPr="00B11F1D" w:rsidRDefault="00D566A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00D566A2">
              <w:rPr>
                <w:rFonts w:ascii="Times New Roman" w:eastAsia="cal" w:hAnsi="Times New Roman" w:cs="Times New Roman"/>
                <w:sz w:val="12"/>
                <w:szCs w:val="12"/>
              </w:rPr>
              <w:t>REQ-022 (no duplicates/corruption), CON-SEC-03 (RBAC), CON-TEC-03 (environment separation), CON-SEC-02 (no committed secrets), ASR-001 (R0 budget), M2 Section 5.8 boundary.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051128" w14:textId="77777777" w:rsidR="00D634E2" w:rsidRPr="00BC2A9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Hardcoded local config or premature full cloud/container production orchestration in M2.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6FFE08" w14:textId="77777777" w:rsidR="00D634E2" w:rsidRPr="00403C5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Enforce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stateless API design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, </w:t>
            </w:r>
            <w:proofErr w:type="gram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runtime .env</w:t>
            </w:r>
            <w:proofErr w:type="gram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secret injection </w:t>
            </w:r>
            <w:proofErr w:type="gram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(.</w:t>
            </w:r>
            <w:proofErr w:type="spell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gitignore</w:t>
            </w:r>
            <w:proofErr w:type="spellEnd"/>
            <w:proofErr w:type="gram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</w:t>
            </w:r>
            <w:proofErr w:type="gram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+ .env</w:t>
            </w:r>
            <w:proofErr w:type="gram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.example), and npm ci parity while </w:t>
            </w:r>
            <w:r w:rsidRPr="309032A4">
              <w:rPr>
                <w:rFonts w:ascii="Times New Roman" w:eastAsia="cal" w:hAnsi="Times New Roman" w:cs="Times New Roman"/>
                <w:b/>
                <w:sz w:val="12"/>
                <w:szCs w:val="12"/>
              </w:rPr>
              <w:t>deferring final cloud hosting/failover automation to M3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712BDC" w14:textId="77777777" w:rsidR="00D634E2" w:rsidRPr="00403C5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Prevents credential leaks (CON-SEC-02) and environment drift (Nazário, Bonifácio and Pinto, 2025; Gamage et al., 2026) without wasting M2 coding capacity on premature infrastructure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AC5E2E" w14:textId="77777777" w:rsidR="00D634E2" w:rsidRPr="00403C53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Local development does not yet simulate real cloud network latency or live replica failover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8A5DA96" w14:textId="77777777" w:rsidR="00D634E2" w:rsidRPr="005679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Free-tier cloud limits or cold starts discovered during M3 deployment (R03, R05).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BF7819" w14:textId="77777777" w:rsidR="00D634E2" w:rsidRPr="00567947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PED v2.0 Section 1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3</w:t>
            </w:r>
            <w:proofErr w:type="gram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; .</w:t>
            </w:r>
            <w:proofErr w:type="spellStart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gitignore</w:t>
            </w:r>
            <w:proofErr w:type="spellEnd"/>
            <w:proofErr w:type="gramEnd"/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 xml:space="preserve"> and environment config structure in repository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56F1520" w14:textId="77777777" w:rsidR="00D634E2" w:rsidRPr="004B3290" w:rsidRDefault="00D634E2" w:rsidP="005A0EB4">
            <w:pPr>
              <w:spacing w:after="0"/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Milestone 3 must select the final hosting platform and verify backup/failover recovery (REQ-036</w:t>
            </w:r>
            <w:r>
              <w:rPr>
                <w:rFonts w:ascii="Times New Roman" w:eastAsia="cal" w:hAnsi="Times New Roman" w:cs="Times New Roman"/>
                <w:sz w:val="12"/>
                <w:szCs w:val="12"/>
              </w:rPr>
              <w:t>, CR-006</w:t>
            </w:r>
            <w:r w:rsidRPr="309032A4">
              <w:rPr>
                <w:rFonts w:ascii="Times New Roman" w:eastAsia="cal" w:hAnsi="Times New Roman" w:cs="Times New Roman"/>
                <w:sz w:val="12"/>
                <w:szCs w:val="12"/>
              </w:rPr>
              <w:t>).</w:t>
            </w:r>
          </w:p>
        </w:tc>
      </w:tr>
      <w:tr w:rsidR="00D634E2" w14:paraId="064217A6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D48BCBD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cal" w:hAnsi="Times New Roman" w:cs="Times New Roman"/>
                <w:sz w:val="12"/>
                <w:szCs w:val="12"/>
              </w:rPr>
              <w:t>DO8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A7D54FD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Requester, Staff, and Management are merged into a single entity called “user”.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32157A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>R0 budget (ASR-001), RBAC (ASR-002), password security (ASR-003), no corrupted requests (ASR-007), small team.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6E9932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 xml:space="preserve">1 </w:t>
            </w:r>
            <w:r w:rsidRPr="6F117D5F">
              <w:rPr>
                <w:sz w:val="12"/>
                <w:szCs w:val="12"/>
              </w:rPr>
              <w:t>user</w:t>
            </w:r>
            <w:r w:rsidRPr="309032A4">
              <w:rPr>
                <w:sz w:val="12"/>
                <w:szCs w:val="12"/>
              </w:rPr>
              <w:t xml:space="preserve"> table </w:t>
            </w:r>
            <w:r w:rsidRPr="6F117D5F">
              <w:rPr>
                <w:sz w:val="12"/>
                <w:szCs w:val="12"/>
              </w:rPr>
              <w:t>vs 3 user tables;</w:t>
            </w:r>
            <w:r w:rsidRPr="309032A4">
              <w:rPr>
                <w:sz w:val="12"/>
                <w:szCs w:val="12"/>
              </w:rPr>
              <w:t xml:space="preserve"> Idempotency keys </w:t>
            </w:r>
            <w:r w:rsidRPr="6F117D5F">
              <w:rPr>
                <w:sz w:val="12"/>
                <w:szCs w:val="12"/>
              </w:rPr>
              <w:t>against</w:t>
            </w:r>
            <w:r w:rsidRPr="309032A4">
              <w:rPr>
                <w:sz w:val="12"/>
                <w:szCs w:val="12"/>
              </w:rPr>
              <w:t xml:space="preserve"> pre-save checks (A2 §5.4.1). Caching </w:t>
            </w:r>
            <w:r w:rsidRPr="6F117D5F">
              <w:rPr>
                <w:sz w:val="12"/>
                <w:szCs w:val="12"/>
              </w:rPr>
              <w:t>against</w:t>
            </w:r>
            <w:r w:rsidRPr="309032A4">
              <w:rPr>
                <w:sz w:val="12"/>
                <w:szCs w:val="12"/>
              </w:rPr>
              <w:t xml:space="preserve"> no caching for duplicates (A2 §5.5).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6F815FD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Single “user” table with “user_type”, caching duplicates not allowed, and database has the authoritative say.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706A72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 xml:space="preserve">Merging the tables is simpler without weakening RBAC. A2 §5.2 requires all-or-nothing saves. A2 §5.3 gave the validation layers. A2 §5.4.1 </w:t>
            </w:r>
            <w:proofErr w:type="spellStart"/>
            <w:r w:rsidRPr="309032A4">
              <w:rPr>
                <w:sz w:val="12"/>
                <w:szCs w:val="12"/>
              </w:rPr>
              <w:t>favoured</w:t>
            </w:r>
            <w:proofErr w:type="spellEnd"/>
            <w:r w:rsidRPr="309032A4">
              <w:rPr>
                <w:sz w:val="12"/>
                <w:szCs w:val="12"/>
              </w:rPr>
              <w:t xml:space="preserve"> pre-save checks over idempotency keys as proportionate for M2. A2 §5.5 warned against caching due to staleness. A2 §5.6 recommended the </w:t>
            </w:r>
            <w:proofErr w:type="spellStart"/>
            <w:r w:rsidRPr="309032A4">
              <w:rPr>
                <w:sz w:val="12"/>
                <w:szCs w:val="12"/>
              </w:rPr>
              <w:t>Database+App</w:t>
            </w:r>
            <w:proofErr w:type="spellEnd"/>
            <w:r w:rsidRPr="309032A4">
              <w:rPr>
                <w:sz w:val="12"/>
                <w:szCs w:val="12"/>
              </w:rPr>
              <w:t xml:space="preserve"> hybrid, which we followed.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1B06199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The “user_type” must be a filter usage for users (R10). Duplicates still possible due to no idempotency (R13).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69CD751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>R01, R02, R06, R10, R13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FD02C3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309032A4">
              <w:rPr>
                <w:sz w:val="12"/>
                <w:szCs w:val="12"/>
              </w:rPr>
              <w:t>SEN381 Assignment 2, Task 2, §5.1–5.6; PED v2.0 §8.3 and §8.5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5FBF7E" w14:textId="77777777" w:rsidR="00D634E2" w:rsidRDefault="00D634E2" w:rsidP="005A0EB4">
            <w:pPr>
              <w:spacing w:after="0"/>
              <w:rPr>
                <w:sz w:val="12"/>
                <w:szCs w:val="12"/>
              </w:rPr>
            </w:pPr>
            <w:r w:rsidRPr="6F117D5F">
              <w:rPr>
                <w:sz w:val="12"/>
                <w:szCs w:val="12"/>
              </w:rPr>
              <w:t>Make update to this when submission endpoint is done. Make visit to</w:t>
            </w:r>
            <w:r w:rsidRPr="309032A4">
              <w:rPr>
                <w:sz w:val="12"/>
                <w:szCs w:val="12"/>
              </w:rPr>
              <w:t xml:space="preserve"> idempotency keys </w:t>
            </w:r>
            <w:r w:rsidRPr="6F117D5F">
              <w:rPr>
                <w:sz w:val="12"/>
                <w:szCs w:val="12"/>
              </w:rPr>
              <w:t>during</w:t>
            </w:r>
            <w:r w:rsidRPr="309032A4">
              <w:rPr>
                <w:sz w:val="12"/>
                <w:szCs w:val="12"/>
              </w:rPr>
              <w:t xml:space="preserve"> M3.</w:t>
            </w:r>
          </w:p>
        </w:tc>
      </w:tr>
      <w:tr w:rsidR="00D634E2" w14:paraId="08F9F2B5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091EABC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D09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8E7074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M2 must fix the system structure before construction; ten ASRs (§6).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21059D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ASR-001, ASR-002, ASR-007, ASR-008, ASR-009; CON-RES-01; CON-SCH-01.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8523A8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Microservices; serverless functions + hosted backend; unstructured monolith (§7.2).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59D4A0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Layered modular monolith: one React client, one Express API with five modules (User, Request, Staff, Admin, Notification) and five logical layers, one PostgreSQL database.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2EDE37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Highest weighted score (89/100). One transaction boundary for ASR-007/009 and one enforcement point for ASR-002, with module boundaries for ASR-008 (Fowler, 2015; Richards and Ford, 2020).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0FC9BB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More folders and interfaces than a flat app; the API scales as one unit; one crash stops all modules.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3BAFE6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R10 (boundary erosion); R05 (single database).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BE657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PED v2.0 §7, Figures 7-1 to 7-3; repository folder structure (README).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6B0D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Review in M3; a module could be extracted later without rewriting domain code.</w:t>
            </w:r>
          </w:p>
        </w:tc>
      </w:tr>
      <w:tr w:rsidR="00D634E2" w14:paraId="7B8FA559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7E0C6BE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D10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53561A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 xml:space="preserve">Status vocabulary differs across REQ-004, REQ-013, REQ-017, REQ-022, </w:t>
            </w: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lastRenderedPageBreak/>
              <w:t>§8.1 and §12.2; S-IN-007 needs reject, cancel and reopen.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BF1376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lastRenderedPageBreak/>
              <w:t>ASR-007, ASR-009; S-IN-007.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E6AF6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Keep per-requirement wording and translate in the UI; free-text status.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FE2CA9E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 xml:space="preserve">Seven stored states: Pending, Accepted, In Progress, Completed, Closed, Rejected, Cancelled. Open </w:t>
            </w: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lastRenderedPageBreak/>
              <w:t>and Overdue are derived.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83F9F2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lastRenderedPageBreak/>
              <w:t xml:space="preserve">Screens, audit and reports read the same values; invalid moves become a tested </w:t>
            </w: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lastRenderedPageBreak/>
              <w:t>domain rule (409).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4189E24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lastRenderedPageBreak/>
              <w:t>Needs CR-003 to reword baselined criteria.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F77B421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R11.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622CA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PED v2.0 §7.5, Figure 7-4, Table 7-3.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3B1803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Section 8 CHECK constraint and §12.2 status values follow D10.</w:t>
            </w:r>
          </w:p>
        </w:tc>
      </w:tr>
      <w:tr w:rsidR="00D634E2" w14:paraId="31DB89DD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C74789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D11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8102485" w14:textId="518CB5AF" w:rsidR="00D634E2" w:rsidRPr="6F117D5F" w:rsidRDefault="00D566A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00D566A2">
              <w:rPr>
                <w:rFonts w:ascii="Times New Roman" w:eastAsia="Times New Roman" w:hAnsi="Times New Roman" w:cs="Times New Roman"/>
                <w:sz w:val="12"/>
                <w:szCs w:val="12"/>
              </w:rPr>
              <w:t>Requester notifications (REQ-020, ASR-008) with channels that can be added or replaced; email provider now also needed for registration confirmation.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E55BC4F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ASR-008; S-IN-003 and S-DEF-002 (scope); ASR-001.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26132A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Direct notification service (A2 Task 1 §2.2); Strategy + adapters (A2 §2.3).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1BA24D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NotificationChannel interface; </w:t>
            </w:r>
            <w:proofErr w:type="spellStart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EmailNotificationChannel</w:t>
            </w:r>
            <w:proofErr w:type="spellEnd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built, SMS deferred; one </w:t>
            </w:r>
            <w:proofErr w:type="spellStart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MailSender</w:t>
            </w:r>
            <w:proofErr w:type="spellEnd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adapter (Nodemailer, MIT-0) shared with registration confirmation. In-app feedback reads the action table.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D238213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A2 condition for Strategy is met; provider changes touch one adapter; email failure never rolls back core writes (§12.1, R07).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0642016D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Two small interfaces to maintain.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D3D6314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R07, R14, R16.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70EBDC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PED v2.0 §11.1, Figure 11-1; A2 Task 1.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B922D29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Status emails switched on only if CR-005 is approved; SMS added later as one class.</w:t>
            </w:r>
          </w:p>
        </w:tc>
      </w:tr>
      <w:tr w:rsidR="00D634E2" w14:paraId="5DF276C6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E44A273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D12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A18F45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A status change must update the request and its audit row together and may trigger notifications and future escalation.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A6269EC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ASR-005, ASR-007, ASR-009.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C86650A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Pure orchestration (A2 Task 1 §3.2); pure Observer (A2 §3.3).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ADF167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Hybrid (A2 §3.5): request update + action row in one transaction; RequestStatusChanged published after COMMIT to handlers that are not awaited.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B6D80F0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Audit guarantee visible in one method; new reactions added without editing the use case; slow email cannot delay the response.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2F84962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Dispatcher and handler registration add indirection.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4A241868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R06, R10.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5C92585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PED v2.0 §7.6, §11.2, Figure 7-5.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70B1540D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color w:val="000000" w:themeColor="text1"/>
                <w:sz w:val="12"/>
                <w:szCs w:val="12"/>
              </w:rPr>
              <w:t>Escalation (S-DEF-001) can be added as a handler.</w:t>
            </w:r>
          </w:p>
        </w:tc>
      </w:tr>
      <w:tr w:rsidR="00D634E2" w14:paraId="772D00F9" w14:textId="77777777" w:rsidTr="005A0EB4">
        <w:trPr>
          <w:trHeight w:val="300"/>
        </w:trPr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9C3741B" w14:textId="77777777" w:rsidR="00D634E2" w:rsidRDefault="00D634E2" w:rsidP="005A0EB4">
            <w:pPr>
              <w:rPr>
                <w:rFonts w:ascii="Times New Roman" w:eastAsia="cal" w:hAnsi="Times New Roman" w:cs="Times New Roman"/>
                <w:sz w:val="12"/>
                <w:szCs w:val="12"/>
              </w:rPr>
            </w:pPr>
            <w:r w:rsidRPr="6061DE9A">
              <w:rPr>
                <w:rFonts w:ascii="Times New Roman" w:eastAsia="cal" w:hAnsi="Times New Roman" w:cs="Times New Roman"/>
                <w:sz w:val="12"/>
                <w:szCs w:val="12"/>
              </w:rPr>
              <w:t>D13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1A49F20C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Lecturer requirement confirmed in M2: new accounts must confirm their email address before they can sign in.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21D77FB7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ASR-002, ASR-003, ASR-001; REQ-023, REQ-033.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34B62A6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No verification (baseline); email code at every sign-in; authenticator-app or passkey second factor.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E146BF8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Register with name, email and password (</w:t>
            </w:r>
            <w:proofErr w:type="spellStart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bcrypt</w:t>
            </w:r>
            <w:proofErr w:type="spellEnd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, unchanged); a single-use confirmation link (stored only as a SHA-256 hash on the user row, 24-hour </w:t>
            </w:r>
            <w:proofErr w:type="gramStart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expiry)  is</w:t>
            </w:r>
            <w:proofErr w:type="gramEnd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emailed; sign-in is refused until the email is confirmed.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507EF7FD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Proves the requester owns the address used for notifications; blocks sign-ups in someone else's name; password sign-in unchanged (OWASP Authentication and Forgot Password cheat sheets; NIST SP 800-63B-4 treats email confirmation as outside its ban on email authentication).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1FC7828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Email delivery needed at sign-up; unconfirmed accounts need clean-up; not a second factor.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3D9A68CE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R14, R15, R16.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7B36B3E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PED v2.0 §11.3, Figure 11-2; CR-004.</w:t>
            </w:r>
          </w:p>
        </w:tc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108" w:type="dxa"/>
              <w:right w:w="108" w:type="dxa"/>
            </w:tcMar>
          </w:tcPr>
          <w:p w14:paraId="69262381" w14:textId="77777777" w:rsidR="00D634E2" w:rsidRPr="6F117D5F" w:rsidRDefault="00D634E2" w:rsidP="005A0EB4">
            <w:pPr>
              <w:spacing w:after="20"/>
              <w:rPr>
                <w:rFonts w:ascii="Times New Roman" w:eastAsia="Times New Roman" w:hAnsi="Times New Roman" w:cs="Times New Roman"/>
                <w:sz w:val="12"/>
                <w:szCs w:val="12"/>
              </w:rPr>
            </w:pPr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Adds three user attributes: </w:t>
            </w:r>
            <w:proofErr w:type="spellStart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email_verified</w:t>
            </w:r>
            <w:proofErr w:type="spellEnd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, </w:t>
            </w:r>
            <w:proofErr w:type="spellStart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verification_token_hash</w:t>
            </w:r>
            <w:proofErr w:type="spellEnd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, </w:t>
            </w:r>
            <w:proofErr w:type="spellStart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>verification_expires_at</w:t>
            </w:r>
            <w:proofErr w:type="spellEnd"/>
            <w:r w:rsidRPr="6F117D5F">
              <w:rPr>
                <w:rFonts w:ascii="Times New Roman" w:eastAsia="Times New Roman" w:hAnsi="Times New Roman" w:cs="Times New Roman"/>
                <w:sz w:val="12"/>
                <w:szCs w:val="12"/>
              </w:rPr>
              <w:t xml:space="preserve"> (§8); three auth endpoints in §12.2; Nodemailer added to §9; a true second factor for staff is an M3 candidate.</w:t>
            </w:r>
          </w:p>
        </w:tc>
      </w:tr>
    </w:tbl>
    <w:p w14:paraId="3FA2A4AC" w14:textId="4DB1C203" w:rsidR="00F94F57" w:rsidRDefault="00F94F57" w:rsidP="00121D69">
      <w:pPr>
        <w:pStyle w:val="Heading1"/>
        <w:rPr>
          <w:rFonts w:ascii="Times New Roman" w:eastAsia="Times New Roman" w:hAnsi="Times New Roman" w:cs="Times New Roman"/>
        </w:rPr>
      </w:pPr>
    </w:p>
    <w:p w14:paraId="7B4E577F" w14:textId="41BE1C29" w:rsidR="00DB4E1C" w:rsidRPr="00F94F57" w:rsidRDefault="00DB4E1C" w:rsidP="00F94F57">
      <w:pPr>
        <w:pStyle w:val="Heading1"/>
      </w:pPr>
    </w:p>
    <w:sectPr w:rsidR="00DB4E1C" w:rsidRPr="00F94F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1B66CB"/>
    <w:multiLevelType w:val="hybridMultilevel"/>
    <w:tmpl w:val="A74A366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FC22C4C"/>
    <w:multiLevelType w:val="hybridMultilevel"/>
    <w:tmpl w:val="20A80F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DC3908"/>
    <w:multiLevelType w:val="hybridMultilevel"/>
    <w:tmpl w:val="3CDC2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E58CC"/>
    <w:multiLevelType w:val="hybridMultilevel"/>
    <w:tmpl w:val="C31454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F5D47DC"/>
    <w:multiLevelType w:val="hybridMultilevel"/>
    <w:tmpl w:val="B4EE9C0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677557"/>
    <w:multiLevelType w:val="hybridMultilevel"/>
    <w:tmpl w:val="9FD8923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7D8476CC"/>
    <w:multiLevelType w:val="hybridMultilevel"/>
    <w:tmpl w:val="6D7833D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1312084">
    <w:abstractNumId w:val="1"/>
  </w:num>
  <w:num w:numId="2" w16cid:durableId="1477335110">
    <w:abstractNumId w:val="6"/>
  </w:num>
  <w:num w:numId="3" w16cid:durableId="713042471">
    <w:abstractNumId w:val="2"/>
  </w:num>
  <w:num w:numId="4" w16cid:durableId="1193616157">
    <w:abstractNumId w:val="4"/>
  </w:num>
  <w:num w:numId="5" w16cid:durableId="1938440969">
    <w:abstractNumId w:val="5"/>
  </w:num>
  <w:num w:numId="6" w16cid:durableId="537357710">
    <w:abstractNumId w:val="0"/>
  </w:num>
  <w:num w:numId="7" w16cid:durableId="1974745903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F58"/>
    <w:rsid w:val="00121D69"/>
    <w:rsid w:val="002C3AAA"/>
    <w:rsid w:val="005E503D"/>
    <w:rsid w:val="00840755"/>
    <w:rsid w:val="00941F58"/>
    <w:rsid w:val="00AB38C7"/>
    <w:rsid w:val="00D566A2"/>
    <w:rsid w:val="00D634E2"/>
    <w:rsid w:val="00DB4E1C"/>
    <w:rsid w:val="00E2457D"/>
    <w:rsid w:val="00F94F57"/>
    <w:rsid w:val="00FC6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C65947"/>
  <w15:chartTrackingRefBased/>
  <w15:docId w15:val="{27B57A7F-FCDB-574B-9764-39739EE12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F58"/>
    <w:pPr>
      <w:spacing w:after="120" w:line="264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1F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1F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F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F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F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F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F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F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F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41F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F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F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F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F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F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F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F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F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F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F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F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F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F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F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F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F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F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F5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941F58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1688</Words>
  <Characters>9626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Mohau Drew Modiselle</dc:creator>
  <cp:keywords/>
  <dc:description/>
  <cp:lastModifiedBy>Mohau Drew Modiselle</cp:lastModifiedBy>
  <cp:revision>3</cp:revision>
  <dcterms:created xsi:type="dcterms:W3CDTF">2026-09-30T20:27:00Z</dcterms:created>
  <dcterms:modified xsi:type="dcterms:W3CDTF">2026-10-05T20:28:00Z</dcterms:modified>
</cp:coreProperties>
</file>