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0"/>
        <w:gridCol w:w="860"/>
        <w:gridCol w:w="983"/>
        <w:gridCol w:w="800"/>
        <w:gridCol w:w="830"/>
        <w:gridCol w:w="830"/>
        <w:gridCol w:w="970"/>
        <w:gridCol w:w="970"/>
        <w:gridCol w:w="1103"/>
        <w:gridCol w:w="830"/>
      </w:tblGrid>
      <w:tr w:rsidR="00840755" w:rsidRPr="00B51A47" w14:paraId="465ADD09" w14:textId="77777777" w:rsidTr="005A0EB4">
        <w:trPr>
          <w:trHeight w:val="755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CBDF31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Risk ID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E245E5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Description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443786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Cause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B6E267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Probability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2BC6553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Impact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2BFB20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Priority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3F1CFC2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Mitigation Strategy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603112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Contingency Plan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4EB5F7F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Owner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35F6565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Status</w:t>
            </w:r>
          </w:p>
        </w:tc>
      </w:tr>
      <w:tr w:rsidR="00840755" w:rsidRPr="00B51A47" w14:paraId="371BBC29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DE7A2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01533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Failure to enforce role-based access, allowing requesters or staff to view unauthorized oversight information.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1E9B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NFR-005 mandates strict jurisdiction visibility, which is complex to secure during early architectural phases.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CF62E0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105F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1E9F5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Critical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462F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Define strict authorization boundaries and route protection in Milestone 2 architecture planning.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E56FB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Restrict system access entirely until authorization boundaries are verified.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B1B4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2C9F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4929151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0E552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E56DF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Password hashing fails or user credentials become exposed.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B9854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NFR-006 and NFR-009 require secure credential handling and encryption upon account creation.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3B1D7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E5E67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7890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Critical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E16A2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Implement industry-standard encryption and security protocols before user registration is built.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2170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Force a global password reset and patch the hashing vulnerability.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9947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0C8C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3BD21A52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DBE4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D941FF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System processing delays exceed the 10-second threshold.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C5A0D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Heavy filtering, sorting (FR-020), and management statistics (FR-018) calculations executed concurrently against the database.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728D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6EC2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DFCB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4D7F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Optimize database queries and indexing specifically for heavy filtering/sorting tasks.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2CFBC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Defer live statistical rendering in favor of asynchronous reporting.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C33F0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56E66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33014128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487CE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C7DD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System crashes or degrades under load.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4655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NFR-013 mandates support for 210 concurrent users, which strains unoptimized server resources.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18CD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149E8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1237A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E95C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Design scalable server architecture and include load testing in the testing strategy.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F4DA6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Temporarily queue incoming user requests until capacity frees up.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B2C2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88ED3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14EB16DF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2D5DC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17E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The backup database fails to execute a successful failover.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98BE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NFR-012 requires redundant database architecture, introducing complex synchronization dependencies.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90E9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21590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610E6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733DD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Define rigorous database redundancy and failover protocols in the Forward Engineering Considerations in M2 once tech stack is chosen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19586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Initiate manual database restoration from the most recent safe snapshot.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1FAD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E1724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39CC6F3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D9182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80009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Submitted service request information becomes </w:t>
            </w:r>
            <w:proofErr w:type="gramStart"/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corrupted</w:t>
            </w:r>
            <w:proofErr w:type="gramEnd"/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and the system fails to execute a rollback.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3365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NFR-004 requires corruption-free storage and rollback mechanisms during transaction failures.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69464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A105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11F82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69D77F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Enforce strict transactional database rules and atomic commits for all data ingestion.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7CE93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Isolate the corrupted tables and restore the missing records from local logs.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0AF6A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A48C0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04357E59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9536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R07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50C13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External API failures prevent the system from sending required status notifications via Gmail or SMS.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1193C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NFR-002 requires external platform integration, making the system reliant on third-party uptime.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E2A1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2233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E449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EAD4A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Map out API rate limits and build robust error handling for external communication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ED35E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Default to displaying in-app status updates (FR-004) until API connectivity is restored.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8D47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(Frontend/Design)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B263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529D20A6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CD91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R08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179D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Platform interface fails to function or render correctly across phone, tablet, laptop, and desktop devices.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8BD3D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NFR-008 requires compatibility across phone, tablet, laptop, and desktop interfaces.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4ADBC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DE917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7EC40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3969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Commit to a highly responsive UI framework in the Milestone 2 technology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5DCD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Enforce a desktop-first deployment until mobile layouts are stabilized.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966C8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(Frontend/Design)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CEBFB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2E81998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A6C6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R09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E6F8F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Scope creep driven by the high volume of complex "High" priority features (e.g., auditing staff actions, FR-021) leads to premature M1 coding.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AA926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 volume of complex "High" priority features (e.g., FR-021 auditing) tempting developers to build before baselining.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BF178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6E3E0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0BA9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528E1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Strictly bind these complex requirements to future milestones and lock the PED v1.0 scope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20F4E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Revert any premature implementation branches and refocus on documentation.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FEEE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(or Benno Weideman)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D508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14:paraId="539493D8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ADD6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C4B3B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Layer and module boundaries erode; controllers start to contain SQL or business rules.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5EBA40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Deadline pressure; layering is new to the team (D09).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BFC5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CB22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3A86FD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95A1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Dependency rules in the PR checklist now; </w:t>
            </w:r>
            <w:proofErr w:type="spellStart"/>
            <w:r w:rsidRPr="65E61FEA">
              <w:rPr>
                <w:rFonts w:eastAsia="Calibri" w:cs="Calibri"/>
                <w:sz w:val="12"/>
                <w:szCs w:val="12"/>
              </w:rPr>
              <w:t>ESLint</w:t>
            </w:r>
            <w:proofErr w:type="spellEnd"/>
            <w:r w:rsidRPr="65E61FEA">
              <w:rPr>
                <w:rFonts w:eastAsia="Calibri" w:cs="Calibri"/>
                <w:sz w:val="12"/>
                <w:szCs w:val="12"/>
              </w:rPr>
              <w:t xml:space="preserve"> import rule in M3.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14D4A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Refactor the offending module before the M3 merge freeze.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5EE72E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D7744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013EA364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8AD53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R11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DF33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Status names differ between screens, API, database and tests.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74E7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CR-003 not approved or not applied everywhere (REQ-004, REQ-013, REQ-017, REQ-022, §8.1, §12.2).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9A61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44793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A54A6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BE23D8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 xml:space="preserve">One status </w:t>
            </w:r>
            <w:proofErr w:type="spellStart"/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enum</w:t>
            </w:r>
            <w:proofErr w:type="spellEnd"/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 xml:space="preserve"> in the domain layer (D10); UI reads labels from the API; CHECK constraint in PostgreSQL.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1F08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Map old labels at the API until CR-003 is closed.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24794E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or Benno Weideman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4E632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13840AEB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EED1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AB3A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Wireframes do not match what requesters understand (category names, error wording, confirmation email).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AA4E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No one outside the team has tried the design yet.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54CAD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79326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D4CCE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C4B6CC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One walkthrough with a non-team participant before the forms are built (§10.6).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A56888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Change labels and wording; cheap before build.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7FAA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6C86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4590FBC5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A3938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ECD81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Accessibility defects are found late, when styling is applied.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FEB3C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Wireframes are greyscale; contrast and keyboard use untested.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3413D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2AB599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592EA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1D6E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Automated contrast and keyboard checks in the M3 quality gates (§10.4).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7D2E3D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Fix before release; record residual issues.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63A2FD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0B30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27BC7E4F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17818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lastRenderedPageBreak/>
              <w:t>R14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D093B3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Confirmation emails are delayed, blocked or land in spam, so new users cannot activate their account.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EFF5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Email verification at registration (D13) depends on email delivery.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660C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CAB623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BA376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EB55D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Provider with SPF/DKIM set up; "resend confirmation email" on the check-email page and sign-in error; delivery tested in M3.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48C52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Administrator can mark an account as verified after checking identity; switch provider through the </w:t>
            </w:r>
            <w:proofErr w:type="spellStart"/>
            <w:r w:rsidRPr="65E61FEA">
              <w:rPr>
                <w:rFonts w:eastAsia="Calibri" w:cs="Calibri"/>
                <w:sz w:val="12"/>
                <w:szCs w:val="12"/>
              </w:rPr>
              <w:t>MailSender</w:t>
            </w:r>
            <w:proofErr w:type="spellEnd"/>
            <w:r w:rsidRPr="65E61FEA">
              <w:rPr>
                <w:rFonts w:eastAsia="Calibri" w:cs="Calibri"/>
                <w:sz w:val="12"/>
                <w:szCs w:val="12"/>
              </w:rPr>
              <w:t xml:space="preserve"> adapter (D11).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0AE9B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F73BC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7E711878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4667B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R15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0542E9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Unconfirmed accounts build up (typos, abandoned or automated sign-ups).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E4D70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Accounts stay unconfirmed when the link is never opened (D13).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19D27A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AC6F3B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340D44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DB394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Rate limits on registration; unconfirmed accounts deleted after 7 days by a scheduled clean-up.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0F38B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Manual clean-up query by the administrator.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F995F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&amp; 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BC9FF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6E3DA9B3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C4B5D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80077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Free-tier email quota is exceeded, so confirmation and notification emails stop.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AA3ED6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ASR-001 (R0 budget) limits provider choice; every registration and (if CR-005) status change sends an email.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3967D8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51839D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2F61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17212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Rate limits per email and IP; check provider quotas when choosing in M3 (CON-CST-03).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5F9E5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Pause status emails first (in-app feedback continues), keep confirmation emails.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B8E1B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Benno Weideman &amp; Mohau Drew Modiselle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79BB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</w:tbl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2C3AAA"/>
    <w:rsid w:val="005E503D"/>
    <w:rsid w:val="00840755"/>
    <w:rsid w:val="00941F58"/>
    <w:rsid w:val="00AB38C7"/>
    <w:rsid w:val="00DB4E1C"/>
    <w:rsid w:val="00E2457D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2026-09-30T20:25:00Z</dcterms:created>
  <dcterms:modified xsi:type="dcterms:W3CDTF">2026-09-30T20:25:00Z</dcterms:modified>
</cp:coreProperties>
</file>