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9A033" w14:textId="77777777" w:rsidR="00D25AED" w:rsidRPr="00D25AED" w:rsidRDefault="00D25AED" w:rsidP="00D25AED">
      <w:pPr>
        <w:pStyle w:val="Heading1"/>
        <w:rPr>
          <w:rFonts w:cstheme="majorHAnsi"/>
        </w:rPr>
      </w:pPr>
      <w:r w:rsidRPr="00D25AED">
        <w:rPr>
          <w:rFonts w:cstheme="majorHAnsi"/>
        </w:rPr>
        <w:t>Abbreviations</w:t>
      </w:r>
    </w:p>
    <w:tbl>
      <w:tblPr>
        <w:tblStyle w:val="TableGrid"/>
        <w:tblW w:w="0" w:type="auto"/>
        <w:tblLook w:val="04A0" w:firstRow="1" w:lastRow="0" w:firstColumn="1" w:lastColumn="0" w:noHBand="0" w:noVBand="1"/>
      </w:tblPr>
      <w:tblGrid>
        <w:gridCol w:w="5105"/>
        <w:gridCol w:w="5105"/>
      </w:tblGrid>
      <w:tr w:rsidR="00D25AED" w:rsidRPr="00D25AED" w14:paraId="32F43995" w14:textId="77777777" w:rsidTr="00D25AED">
        <w:tc>
          <w:tcPr>
            <w:tcW w:w="5105" w:type="dxa"/>
          </w:tcPr>
          <w:p w14:paraId="5DD7FB14" w14:textId="4481A198" w:rsidR="00D25AED" w:rsidRPr="00D25AED" w:rsidRDefault="00D25AED">
            <w:pPr>
              <w:spacing w:after="200" w:line="276" w:lineRule="auto"/>
              <w:rPr>
                <w:rFonts w:asciiTheme="majorHAnsi" w:hAnsiTheme="majorHAnsi" w:cstheme="majorHAnsi"/>
              </w:rPr>
            </w:pPr>
            <w:r w:rsidRPr="00D25AED">
              <w:rPr>
                <w:rFonts w:asciiTheme="majorHAnsi" w:hAnsiTheme="majorHAnsi" w:cstheme="majorHAnsi"/>
              </w:rPr>
              <w:t>API</w:t>
            </w:r>
          </w:p>
        </w:tc>
        <w:tc>
          <w:tcPr>
            <w:tcW w:w="5105" w:type="dxa"/>
          </w:tcPr>
          <w:p w14:paraId="41C80F00" w14:textId="3AC1F0C5" w:rsidR="00D25AED" w:rsidRPr="00D25AED" w:rsidRDefault="00D25AED">
            <w:pPr>
              <w:spacing w:after="200" w:line="276" w:lineRule="auto"/>
              <w:rPr>
                <w:rFonts w:asciiTheme="majorHAnsi" w:hAnsiTheme="majorHAnsi" w:cstheme="majorHAnsi"/>
              </w:rPr>
            </w:pPr>
            <w:r w:rsidRPr="00D25AED">
              <w:rPr>
                <w:rFonts w:asciiTheme="majorHAnsi" w:hAnsiTheme="majorHAnsi" w:cstheme="majorHAnsi"/>
              </w:rPr>
              <w:t>Application Programming Interface =</w:t>
            </w:r>
          </w:p>
        </w:tc>
      </w:tr>
      <w:tr w:rsidR="00D25AED" w:rsidRPr="00D25AED" w14:paraId="4A932FB0" w14:textId="77777777" w:rsidTr="00D25AED">
        <w:tc>
          <w:tcPr>
            <w:tcW w:w="5105" w:type="dxa"/>
          </w:tcPr>
          <w:p w14:paraId="5E51E703" w14:textId="5F87C03B" w:rsidR="00D25AED" w:rsidRPr="00D25AED" w:rsidRDefault="00D25AED">
            <w:pPr>
              <w:spacing w:after="200" w:line="276" w:lineRule="auto"/>
              <w:rPr>
                <w:rFonts w:asciiTheme="majorHAnsi" w:hAnsiTheme="majorHAnsi" w:cstheme="majorHAnsi"/>
              </w:rPr>
            </w:pPr>
            <w:r w:rsidRPr="00D25AED">
              <w:rPr>
                <w:rFonts w:asciiTheme="majorHAnsi" w:hAnsiTheme="majorHAnsi" w:cstheme="majorHAnsi"/>
              </w:rPr>
              <w:t>CI</w:t>
            </w:r>
          </w:p>
        </w:tc>
        <w:tc>
          <w:tcPr>
            <w:tcW w:w="5105" w:type="dxa"/>
          </w:tcPr>
          <w:p w14:paraId="07184EC9" w14:textId="147E97C4" w:rsidR="00D25AED" w:rsidRPr="00D25AED" w:rsidRDefault="00D25AED">
            <w:pPr>
              <w:spacing w:after="200" w:line="276" w:lineRule="auto"/>
              <w:rPr>
                <w:rFonts w:asciiTheme="majorHAnsi" w:hAnsiTheme="majorHAnsi" w:cstheme="majorHAnsi"/>
              </w:rPr>
            </w:pPr>
            <w:r w:rsidRPr="00D25AED">
              <w:rPr>
                <w:rFonts w:asciiTheme="majorHAnsi" w:hAnsiTheme="majorHAnsi" w:cstheme="majorHAnsi"/>
              </w:rPr>
              <w:t>Continuous Integration</w:t>
            </w:r>
          </w:p>
        </w:tc>
      </w:tr>
      <w:tr w:rsidR="00D25AED" w:rsidRPr="00D25AED" w14:paraId="53FB518C" w14:textId="77777777" w:rsidTr="00D25AED">
        <w:tc>
          <w:tcPr>
            <w:tcW w:w="5105" w:type="dxa"/>
          </w:tcPr>
          <w:p w14:paraId="0B995566" w14:textId="3E15194A" w:rsidR="00D25AED" w:rsidRPr="00D25AED" w:rsidRDefault="00D25AED">
            <w:pPr>
              <w:spacing w:after="200" w:line="276" w:lineRule="auto"/>
              <w:rPr>
                <w:rFonts w:asciiTheme="majorHAnsi" w:hAnsiTheme="majorHAnsi" w:cstheme="majorHAnsi"/>
              </w:rPr>
            </w:pPr>
            <w:r w:rsidRPr="00D25AED">
              <w:rPr>
                <w:rFonts w:asciiTheme="majorHAnsi" w:hAnsiTheme="majorHAnsi" w:cstheme="majorHAnsi"/>
              </w:rPr>
              <w:t>DAST</w:t>
            </w:r>
          </w:p>
        </w:tc>
        <w:tc>
          <w:tcPr>
            <w:tcW w:w="5105" w:type="dxa"/>
          </w:tcPr>
          <w:p w14:paraId="146DD118" w14:textId="3677D20D" w:rsidR="00D25AED" w:rsidRPr="00D25AED" w:rsidRDefault="00D25AED">
            <w:pPr>
              <w:spacing w:after="200" w:line="276" w:lineRule="auto"/>
              <w:rPr>
                <w:rFonts w:asciiTheme="majorHAnsi" w:hAnsiTheme="majorHAnsi" w:cstheme="majorHAnsi"/>
              </w:rPr>
            </w:pPr>
            <w:r w:rsidRPr="00D25AED">
              <w:rPr>
                <w:rFonts w:asciiTheme="majorHAnsi" w:hAnsiTheme="majorHAnsi" w:cstheme="majorHAnsi"/>
              </w:rPr>
              <w:t>Dynamic Application Security Testing</w:t>
            </w:r>
          </w:p>
        </w:tc>
      </w:tr>
      <w:tr w:rsidR="00D25AED" w:rsidRPr="00D25AED" w14:paraId="6ADC3BA0" w14:textId="77777777" w:rsidTr="00D25AED">
        <w:tc>
          <w:tcPr>
            <w:tcW w:w="5105" w:type="dxa"/>
          </w:tcPr>
          <w:p w14:paraId="6B743ACD" w14:textId="534E0D71" w:rsidR="00D25AED" w:rsidRPr="00D25AED" w:rsidRDefault="00D25AED">
            <w:pPr>
              <w:spacing w:after="200" w:line="276" w:lineRule="auto"/>
              <w:rPr>
                <w:rFonts w:asciiTheme="majorHAnsi" w:hAnsiTheme="majorHAnsi" w:cstheme="majorHAnsi"/>
              </w:rPr>
            </w:pPr>
            <w:r w:rsidRPr="00D25AED">
              <w:rPr>
                <w:rFonts w:asciiTheme="majorHAnsi" w:hAnsiTheme="majorHAnsi" w:cstheme="majorHAnsi"/>
              </w:rPr>
              <w:t>MFA</w:t>
            </w:r>
          </w:p>
        </w:tc>
        <w:tc>
          <w:tcPr>
            <w:tcW w:w="5105" w:type="dxa"/>
          </w:tcPr>
          <w:p w14:paraId="6500CD98" w14:textId="6F0B0453" w:rsidR="00D25AED" w:rsidRPr="00D25AED" w:rsidRDefault="00D25AED">
            <w:pPr>
              <w:spacing w:after="200" w:line="276" w:lineRule="auto"/>
              <w:rPr>
                <w:rFonts w:asciiTheme="majorHAnsi" w:hAnsiTheme="majorHAnsi" w:cstheme="majorHAnsi"/>
              </w:rPr>
            </w:pPr>
            <w:r w:rsidRPr="00D25AED">
              <w:rPr>
                <w:rFonts w:asciiTheme="majorHAnsi" w:hAnsiTheme="majorHAnsi" w:cstheme="majorHAnsi"/>
              </w:rPr>
              <w:t>Multi-Factor Authentication</w:t>
            </w:r>
          </w:p>
        </w:tc>
      </w:tr>
      <w:tr w:rsidR="00D25AED" w:rsidRPr="00D25AED" w14:paraId="54C49079" w14:textId="77777777" w:rsidTr="00D25AED">
        <w:tc>
          <w:tcPr>
            <w:tcW w:w="5105" w:type="dxa"/>
          </w:tcPr>
          <w:p w14:paraId="1DE8492F" w14:textId="5C017322" w:rsidR="00D25AED" w:rsidRPr="00D25AED" w:rsidRDefault="00D25AED">
            <w:pPr>
              <w:spacing w:after="200" w:line="276" w:lineRule="auto"/>
              <w:rPr>
                <w:rFonts w:asciiTheme="majorHAnsi" w:hAnsiTheme="majorHAnsi" w:cstheme="majorHAnsi"/>
              </w:rPr>
            </w:pPr>
            <w:r w:rsidRPr="00D25AED">
              <w:rPr>
                <w:rFonts w:asciiTheme="majorHAnsi" w:hAnsiTheme="majorHAnsi" w:cstheme="majorHAnsi"/>
              </w:rPr>
              <w:t>NIST</w:t>
            </w:r>
          </w:p>
        </w:tc>
        <w:tc>
          <w:tcPr>
            <w:tcW w:w="5105" w:type="dxa"/>
          </w:tcPr>
          <w:p w14:paraId="734C64D1" w14:textId="2EA941E1" w:rsidR="00D25AED" w:rsidRPr="00D25AED" w:rsidRDefault="00D25AED">
            <w:pPr>
              <w:spacing w:after="200" w:line="276" w:lineRule="auto"/>
              <w:rPr>
                <w:rFonts w:asciiTheme="majorHAnsi" w:hAnsiTheme="majorHAnsi" w:cstheme="majorHAnsi"/>
              </w:rPr>
            </w:pPr>
            <w:r w:rsidRPr="00D25AED">
              <w:rPr>
                <w:rFonts w:asciiTheme="majorHAnsi" w:hAnsiTheme="majorHAnsi" w:cstheme="majorHAnsi"/>
              </w:rPr>
              <w:t>National Institute of Standards and Technology</w:t>
            </w:r>
          </w:p>
        </w:tc>
      </w:tr>
      <w:tr w:rsidR="00D25AED" w:rsidRPr="00D25AED" w14:paraId="3C678B6D" w14:textId="77777777" w:rsidTr="00D25AED">
        <w:tc>
          <w:tcPr>
            <w:tcW w:w="5105" w:type="dxa"/>
          </w:tcPr>
          <w:p w14:paraId="13E75730" w14:textId="639069CA" w:rsidR="00D25AED" w:rsidRPr="00D25AED" w:rsidRDefault="00D25AED">
            <w:pPr>
              <w:spacing w:after="200" w:line="276" w:lineRule="auto"/>
              <w:rPr>
                <w:rFonts w:asciiTheme="majorHAnsi" w:hAnsiTheme="majorHAnsi" w:cstheme="majorHAnsi"/>
              </w:rPr>
            </w:pPr>
            <w:r w:rsidRPr="00D25AED">
              <w:rPr>
                <w:rFonts w:asciiTheme="majorHAnsi" w:hAnsiTheme="majorHAnsi" w:cstheme="majorHAnsi"/>
              </w:rPr>
              <w:t>SAST</w:t>
            </w:r>
          </w:p>
        </w:tc>
        <w:tc>
          <w:tcPr>
            <w:tcW w:w="5105" w:type="dxa"/>
          </w:tcPr>
          <w:p w14:paraId="2D088F20" w14:textId="33403C3E" w:rsidR="00D25AED" w:rsidRPr="00D25AED" w:rsidRDefault="00D25AED">
            <w:pPr>
              <w:spacing w:after="200" w:line="276" w:lineRule="auto"/>
              <w:rPr>
                <w:rFonts w:asciiTheme="majorHAnsi" w:hAnsiTheme="majorHAnsi" w:cstheme="majorHAnsi"/>
              </w:rPr>
            </w:pPr>
            <w:r w:rsidRPr="00D25AED">
              <w:rPr>
                <w:rFonts w:asciiTheme="majorHAnsi" w:hAnsiTheme="majorHAnsi" w:cstheme="majorHAnsi"/>
              </w:rPr>
              <w:t>Static Application Security Testing</w:t>
            </w:r>
          </w:p>
        </w:tc>
      </w:tr>
      <w:tr w:rsidR="00D25AED" w:rsidRPr="00D25AED" w14:paraId="496D58B6" w14:textId="77777777" w:rsidTr="00D25AED">
        <w:tc>
          <w:tcPr>
            <w:tcW w:w="5105" w:type="dxa"/>
          </w:tcPr>
          <w:p w14:paraId="1ACEBF39" w14:textId="3AC28A06" w:rsidR="00D25AED" w:rsidRPr="00D25AED" w:rsidRDefault="00D25AED">
            <w:pPr>
              <w:spacing w:after="200" w:line="276" w:lineRule="auto"/>
              <w:rPr>
                <w:rFonts w:asciiTheme="majorHAnsi" w:hAnsiTheme="majorHAnsi" w:cstheme="majorHAnsi"/>
              </w:rPr>
            </w:pPr>
            <w:r w:rsidRPr="00D25AED">
              <w:rPr>
                <w:rFonts w:asciiTheme="majorHAnsi" w:hAnsiTheme="majorHAnsi" w:cstheme="majorHAnsi"/>
              </w:rPr>
              <w:t>SQL</w:t>
            </w:r>
          </w:p>
        </w:tc>
        <w:tc>
          <w:tcPr>
            <w:tcW w:w="5105" w:type="dxa"/>
          </w:tcPr>
          <w:p w14:paraId="088AA1C9" w14:textId="4EE41585" w:rsidR="00D25AED" w:rsidRPr="00D25AED" w:rsidRDefault="00D25AED">
            <w:pPr>
              <w:spacing w:after="200" w:line="276" w:lineRule="auto"/>
              <w:rPr>
                <w:rFonts w:asciiTheme="majorHAnsi" w:hAnsiTheme="majorHAnsi" w:cstheme="majorHAnsi"/>
              </w:rPr>
            </w:pPr>
            <w:r w:rsidRPr="00D25AED">
              <w:rPr>
                <w:rFonts w:asciiTheme="majorHAnsi" w:hAnsiTheme="majorHAnsi" w:cstheme="majorHAnsi"/>
              </w:rPr>
              <w:t>Structured Query Language</w:t>
            </w:r>
          </w:p>
        </w:tc>
      </w:tr>
      <w:tr w:rsidR="00D25AED" w:rsidRPr="00D25AED" w14:paraId="3B8A8ADC" w14:textId="77777777" w:rsidTr="00D25AED">
        <w:tc>
          <w:tcPr>
            <w:tcW w:w="5105" w:type="dxa"/>
          </w:tcPr>
          <w:p w14:paraId="29879C0D" w14:textId="36FC279E" w:rsidR="00D25AED" w:rsidRPr="00D25AED" w:rsidRDefault="00D25AED">
            <w:pPr>
              <w:spacing w:after="200" w:line="276" w:lineRule="auto"/>
              <w:rPr>
                <w:rFonts w:asciiTheme="majorHAnsi" w:hAnsiTheme="majorHAnsi" w:cstheme="majorHAnsi"/>
              </w:rPr>
            </w:pPr>
            <w:r w:rsidRPr="00D25AED">
              <w:rPr>
                <w:rFonts w:asciiTheme="majorHAnsi" w:hAnsiTheme="majorHAnsi" w:cstheme="majorHAnsi"/>
              </w:rPr>
              <w:t>SSDF</w:t>
            </w:r>
          </w:p>
        </w:tc>
        <w:tc>
          <w:tcPr>
            <w:tcW w:w="5105" w:type="dxa"/>
          </w:tcPr>
          <w:p w14:paraId="527A5E90" w14:textId="520E38E3" w:rsidR="00D25AED" w:rsidRPr="00D25AED" w:rsidRDefault="00D25AED">
            <w:pPr>
              <w:spacing w:after="200" w:line="276" w:lineRule="auto"/>
              <w:rPr>
                <w:rFonts w:asciiTheme="majorHAnsi" w:hAnsiTheme="majorHAnsi" w:cstheme="majorHAnsi"/>
              </w:rPr>
            </w:pPr>
            <w:r w:rsidRPr="00D25AED">
              <w:rPr>
                <w:rFonts w:asciiTheme="majorHAnsi" w:hAnsiTheme="majorHAnsi" w:cstheme="majorHAnsi"/>
              </w:rPr>
              <w:t>Secure Software Development Framework</w:t>
            </w:r>
          </w:p>
        </w:tc>
      </w:tr>
      <w:tr w:rsidR="00D25AED" w:rsidRPr="00D25AED" w14:paraId="0B83DB7A" w14:textId="77777777" w:rsidTr="00D25AED">
        <w:tc>
          <w:tcPr>
            <w:tcW w:w="5105" w:type="dxa"/>
          </w:tcPr>
          <w:p w14:paraId="2BA1A901" w14:textId="2C46AF4A" w:rsidR="00D25AED" w:rsidRPr="00D25AED" w:rsidRDefault="00D25AED">
            <w:pPr>
              <w:spacing w:after="200" w:line="276" w:lineRule="auto"/>
              <w:rPr>
                <w:rFonts w:asciiTheme="majorHAnsi" w:hAnsiTheme="majorHAnsi" w:cstheme="majorHAnsi"/>
              </w:rPr>
            </w:pPr>
            <w:r w:rsidRPr="00D25AED">
              <w:rPr>
                <w:rFonts w:asciiTheme="majorHAnsi" w:hAnsiTheme="majorHAnsi" w:cstheme="majorHAnsi"/>
              </w:rPr>
              <w:t>STRIDE</w:t>
            </w:r>
          </w:p>
        </w:tc>
        <w:tc>
          <w:tcPr>
            <w:tcW w:w="5105" w:type="dxa"/>
          </w:tcPr>
          <w:p w14:paraId="73DD4A9A" w14:textId="2C072B27" w:rsidR="00D25AED" w:rsidRPr="00D25AED" w:rsidRDefault="00D25AED">
            <w:pPr>
              <w:spacing w:after="200" w:line="276" w:lineRule="auto"/>
              <w:rPr>
                <w:rFonts w:asciiTheme="majorHAnsi" w:hAnsiTheme="majorHAnsi" w:cstheme="majorHAnsi"/>
              </w:rPr>
            </w:pPr>
            <w:r w:rsidRPr="00D25AED">
              <w:rPr>
                <w:rFonts w:asciiTheme="majorHAnsi" w:hAnsiTheme="majorHAnsi" w:cstheme="majorHAnsi"/>
              </w:rPr>
              <w:t>Spoofing, Tampering, Repudiation, Information Disclosure, Denial of Service, Elevation of Privilege</w:t>
            </w:r>
          </w:p>
        </w:tc>
      </w:tr>
      <w:tr w:rsidR="00D25AED" w:rsidRPr="00D25AED" w14:paraId="7B408564" w14:textId="77777777" w:rsidTr="00D25AED">
        <w:tc>
          <w:tcPr>
            <w:tcW w:w="5105" w:type="dxa"/>
          </w:tcPr>
          <w:p w14:paraId="53C58C46" w14:textId="274BB48C" w:rsidR="00D25AED" w:rsidRPr="00D25AED" w:rsidRDefault="00D25AED">
            <w:pPr>
              <w:spacing w:after="200" w:line="276" w:lineRule="auto"/>
              <w:rPr>
                <w:rFonts w:asciiTheme="majorHAnsi" w:hAnsiTheme="majorHAnsi" w:cstheme="majorHAnsi"/>
              </w:rPr>
            </w:pPr>
            <w:r w:rsidRPr="00D25AED">
              <w:rPr>
                <w:rFonts w:asciiTheme="majorHAnsi" w:hAnsiTheme="majorHAnsi" w:cstheme="majorHAnsi"/>
              </w:rPr>
              <w:t>XSS</w:t>
            </w:r>
          </w:p>
        </w:tc>
        <w:tc>
          <w:tcPr>
            <w:tcW w:w="5105" w:type="dxa"/>
          </w:tcPr>
          <w:p w14:paraId="5CA32EA0" w14:textId="4ABA9F18" w:rsidR="00D25AED" w:rsidRPr="00D25AED" w:rsidRDefault="00D25AED">
            <w:pPr>
              <w:spacing w:after="200" w:line="276" w:lineRule="auto"/>
              <w:rPr>
                <w:rFonts w:asciiTheme="majorHAnsi" w:hAnsiTheme="majorHAnsi" w:cstheme="majorHAnsi"/>
              </w:rPr>
            </w:pPr>
            <w:r w:rsidRPr="00D25AED">
              <w:rPr>
                <w:rFonts w:asciiTheme="majorHAnsi" w:hAnsiTheme="majorHAnsi" w:cstheme="majorHAnsi"/>
              </w:rPr>
              <w:t>Cross-Site Scripting</w:t>
            </w:r>
          </w:p>
        </w:tc>
      </w:tr>
    </w:tbl>
    <w:p w14:paraId="37B6B4F7" w14:textId="574E4F6B" w:rsidR="00D25AED" w:rsidRPr="00D25AED" w:rsidRDefault="00D25AED">
      <w:pPr>
        <w:spacing w:after="200" w:line="276" w:lineRule="auto"/>
        <w:rPr>
          <w:rFonts w:asciiTheme="majorHAnsi" w:eastAsiaTheme="majorEastAsia" w:hAnsiTheme="majorHAnsi" w:cstheme="majorHAnsi"/>
          <w:b/>
          <w:bCs/>
          <w:color w:val="000000"/>
          <w:sz w:val="30"/>
          <w:szCs w:val="28"/>
        </w:rPr>
      </w:pPr>
      <w:r w:rsidRPr="00D25AED">
        <w:rPr>
          <w:rFonts w:asciiTheme="majorHAnsi" w:hAnsiTheme="majorHAnsi" w:cstheme="majorHAnsi"/>
        </w:rPr>
        <w:br w:type="page"/>
      </w:r>
    </w:p>
    <w:p w14:paraId="56B67DBC" w14:textId="7596DD5A" w:rsidR="00D25AED" w:rsidRPr="00D25AED" w:rsidRDefault="00363622" w:rsidP="00D25AED">
      <w:pPr>
        <w:pStyle w:val="Heading1"/>
        <w:rPr>
          <w:rFonts w:cstheme="majorHAnsi"/>
        </w:rPr>
      </w:pPr>
      <w:r w:rsidRPr="00D25AED">
        <w:rPr>
          <w:rFonts w:cstheme="majorHAnsi"/>
        </w:rPr>
        <w:lastRenderedPageBreak/>
        <w:t>2. Question 2 – Security Engineering &amp; Threat-Based Controls</w:t>
      </w:r>
    </w:p>
    <w:p w14:paraId="30B8FA75" w14:textId="64989221" w:rsidR="005924CC" w:rsidRPr="00D25AED" w:rsidRDefault="00363622" w:rsidP="00363622">
      <w:pPr>
        <w:pStyle w:val="Heading2"/>
        <w:rPr>
          <w:rFonts w:cstheme="majorHAnsi"/>
        </w:rPr>
      </w:pPr>
      <w:r w:rsidRPr="00D25AED">
        <w:rPr>
          <w:rFonts w:cstheme="majorHAnsi"/>
        </w:rPr>
        <w:t>2.1 Security as an engineering activity</w:t>
      </w:r>
    </w:p>
    <w:p w14:paraId="436D3265" w14:textId="1E461945" w:rsidR="005924CC" w:rsidRPr="00D25AED" w:rsidRDefault="00E47F95">
      <w:pPr>
        <w:rPr>
          <w:rFonts w:asciiTheme="majorHAnsi" w:hAnsiTheme="majorHAnsi" w:cstheme="majorHAnsi"/>
        </w:rPr>
      </w:pPr>
      <w:r w:rsidRPr="00D25AED">
        <w:rPr>
          <w:rFonts w:asciiTheme="majorHAnsi" w:hAnsiTheme="majorHAnsi" w:cstheme="majorHAnsi"/>
        </w:rPr>
        <w:t xml:space="preserve">Security is strongest when it is treated as a continuous engineering concern: teams identify assets and plausible misuse early, convert those threats into verifiable requirements, design controls into the architecture, implement them defensibly and retain evidence that the controls work. A final penetration test remains </w:t>
      </w:r>
      <w:proofErr w:type="gramStart"/>
      <w:r w:rsidRPr="00D25AED">
        <w:rPr>
          <w:rFonts w:asciiTheme="majorHAnsi" w:hAnsiTheme="majorHAnsi" w:cstheme="majorHAnsi"/>
        </w:rPr>
        <w:t>valuable</w:t>
      </w:r>
      <w:proofErr w:type="gramEnd"/>
      <w:r w:rsidRPr="00D25AED">
        <w:rPr>
          <w:rFonts w:asciiTheme="majorHAnsi" w:hAnsiTheme="majorHAnsi" w:cstheme="majorHAnsi"/>
        </w:rPr>
        <w:t xml:space="preserve"> but it samples one deployed state and cannot economically repair architectural weaknesses discovered late. NIST's Secure Software Development Framework therefor</w:t>
      </w:r>
      <w:r w:rsidR="00363622" w:rsidRPr="00D25AED">
        <w:rPr>
          <w:rFonts w:asciiTheme="majorHAnsi" w:hAnsiTheme="majorHAnsi" w:cstheme="majorHAnsi"/>
        </w:rPr>
        <w:t xml:space="preserve">e </w:t>
      </w:r>
      <w:r w:rsidRPr="00D25AED">
        <w:rPr>
          <w:rFonts w:asciiTheme="majorHAnsi" w:hAnsiTheme="majorHAnsi" w:cstheme="majorHAnsi"/>
        </w:rPr>
        <w:t>integrates security practices across preparation, protection of software, production of well-secured software and response to vulnerabilities rather than assigning security to one end-stage test (</w:t>
      </w:r>
      <w:proofErr w:type="spellStart"/>
      <w:r w:rsidRPr="00D25AED">
        <w:rPr>
          <w:rFonts w:asciiTheme="majorHAnsi" w:hAnsiTheme="majorHAnsi" w:cstheme="majorHAnsi"/>
        </w:rPr>
        <w:t>Souppaya</w:t>
      </w:r>
      <w:proofErr w:type="spellEnd"/>
      <w:r w:rsidRPr="00D25AED">
        <w:rPr>
          <w:rFonts w:asciiTheme="majorHAnsi" w:hAnsiTheme="majorHAnsi" w:cstheme="majorHAnsi"/>
        </w:rPr>
        <w:t xml:space="preserve">, Scarfone </w:t>
      </w:r>
      <w:r w:rsidR="00363622" w:rsidRPr="00D25AED">
        <w:rPr>
          <w:rFonts w:asciiTheme="majorHAnsi" w:hAnsiTheme="majorHAnsi" w:cstheme="majorHAnsi"/>
        </w:rPr>
        <w:t>&amp;</w:t>
      </w:r>
      <w:r w:rsidRPr="00D25AED">
        <w:rPr>
          <w:rFonts w:asciiTheme="majorHAnsi" w:hAnsiTheme="majorHAnsi" w:cstheme="majorHAnsi"/>
        </w:rPr>
        <w:t xml:space="preserve"> Dodson, 2022).</w:t>
      </w:r>
    </w:p>
    <w:p w14:paraId="4F332901" w14:textId="77777777" w:rsidR="005924CC" w:rsidRPr="00D25AED" w:rsidRDefault="00E47F95">
      <w:pPr>
        <w:rPr>
          <w:rFonts w:asciiTheme="majorHAnsi" w:hAnsiTheme="majorHAnsi" w:cstheme="majorHAnsi"/>
        </w:rPr>
      </w:pPr>
      <w:r w:rsidRPr="00D25AED">
        <w:rPr>
          <w:rFonts w:asciiTheme="majorHAnsi" w:hAnsiTheme="majorHAnsi" w:cstheme="majorHAnsi"/>
        </w:rPr>
        <w:t>The practical outcome is traceability. A security claim should be connected to a threat, a control objective, an implementation mechanism and evidence. This prevents a team from confusing the presence of a tool with assurance and exposes residual risk that must inform later project decisions.</w:t>
      </w:r>
    </w:p>
    <w:p w14:paraId="7BB847AE" w14:textId="77777777" w:rsidR="002D426D" w:rsidRPr="00D25AED" w:rsidRDefault="002D426D">
      <w:pPr>
        <w:rPr>
          <w:rFonts w:asciiTheme="majorHAnsi" w:hAnsiTheme="majorHAnsi" w:cstheme="majorHAnsi"/>
        </w:rPr>
      </w:pPr>
    </w:p>
    <w:p w14:paraId="78B8DCCF" w14:textId="3339A1C5" w:rsidR="005924CC" w:rsidRPr="00D25AED" w:rsidRDefault="00363622" w:rsidP="00363622">
      <w:pPr>
        <w:pStyle w:val="Heading2"/>
        <w:rPr>
          <w:rFonts w:cstheme="majorHAnsi"/>
        </w:rPr>
      </w:pPr>
      <w:r w:rsidRPr="00D25AED">
        <w:rPr>
          <w:rFonts w:cstheme="majorHAnsi"/>
        </w:rPr>
        <w:t>2.2 Threat modelling with STRIDE</w:t>
      </w:r>
    </w:p>
    <w:p w14:paraId="66FBDC0C" w14:textId="08C6CCBF" w:rsidR="005924CC" w:rsidRPr="00D25AED" w:rsidRDefault="00E47F95">
      <w:pPr>
        <w:rPr>
          <w:rFonts w:asciiTheme="majorHAnsi" w:hAnsiTheme="majorHAnsi" w:cstheme="majorHAnsi"/>
        </w:rPr>
      </w:pPr>
      <w:r w:rsidRPr="00D25AED">
        <w:rPr>
          <w:rFonts w:asciiTheme="majorHAnsi" w:hAnsiTheme="majorHAnsi" w:cstheme="majorHAnsi"/>
        </w:rPr>
        <w:t>Threat modelling is a structured way to reason about how a system could be misused before relying on implementation-level findings. It identifies assets, entry points, trust boundaries, data flows and attacker goals, then uses those observations to prioritise requirements and verification. Its purpose is decision support: it helps a team spend effort where compromise would matter, discover design omissions while they are still inexpensive to change, assign mitigations to owners</w:t>
      </w:r>
      <w:r w:rsidR="00363622" w:rsidRPr="00D25AED">
        <w:rPr>
          <w:rFonts w:asciiTheme="majorHAnsi" w:hAnsiTheme="majorHAnsi" w:cstheme="majorHAnsi"/>
        </w:rPr>
        <w:t xml:space="preserve"> </w:t>
      </w:r>
      <w:r w:rsidRPr="00D25AED">
        <w:rPr>
          <w:rFonts w:asciiTheme="majorHAnsi" w:hAnsiTheme="majorHAnsi" w:cstheme="majorHAnsi"/>
        </w:rPr>
        <w:t>and record assumptions that later tests must challenge.</w:t>
      </w:r>
    </w:p>
    <w:p w14:paraId="67359318" w14:textId="02443C05" w:rsidR="005924CC" w:rsidRPr="00D25AED" w:rsidRDefault="00E47F95">
      <w:pPr>
        <w:rPr>
          <w:rFonts w:asciiTheme="majorHAnsi" w:hAnsiTheme="majorHAnsi" w:cstheme="majorHAnsi"/>
        </w:rPr>
      </w:pPr>
      <w:r w:rsidRPr="00D25AED">
        <w:rPr>
          <w:rFonts w:asciiTheme="majorHAnsi" w:hAnsiTheme="majorHAnsi" w:cstheme="majorHAnsi"/>
        </w:rPr>
        <w:t xml:space="preserve">STRIDE is suitable for a web-based information system </w:t>
      </w:r>
      <w:r w:rsidR="00363622" w:rsidRPr="00D25AED">
        <w:rPr>
          <w:rFonts w:asciiTheme="majorHAnsi" w:hAnsiTheme="majorHAnsi" w:cstheme="majorHAnsi"/>
        </w:rPr>
        <w:t>as</w:t>
      </w:r>
      <w:r w:rsidRPr="00D25AED">
        <w:rPr>
          <w:rFonts w:asciiTheme="majorHAnsi" w:hAnsiTheme="majorHAnsi" w:cstheme="majorHAnsi"/>
        </w:rPr>
        <w:t xml:space="preserve"> it can be applied to a data-flow diagram. The team first defines the system scope and assets; models external entities, processes, data stores, data flows and trust boundaries; examines each relevant element for spoofing, tampering, repudiation, information disclosure, denial of service and elevation of privilege</w:t>
      </w:r>
      <w:r w:rsidR="00363622" w:rsidRPr="00D25AED">
        <w:rPr>
          <w:rFonts w:asciiTheme="majorHAnsi" w:hAnsiTheme="majorHAnsi" w:cstheme="majorHAnsi"/>
        </w:rPr>
        <w:t xml:space="preserve"> </w:t>
      </w:r>
      <w:r w:rsidRPr="00D25AED">
        <w:rPr>
          <w:rFonts w:asciiTheme="majorHAnsi" w:hAnsiTheme="majorHAnsi" w:cstheme="majorHAnsi"/>
        </w:rPr>
        <w:t xml:space="preserve">and then turns credible cases into prioritised requirements, controls and tests. The categories are prompts, not a checklist that proves completeness. Scandariato, Wuyts and Joosen's empirical study found that participants could identify threats with STRIDE, while results varied between analysts and modelling involved material effort (Scandariato, Wuyts </w:t>
      </w:r>
      <w:r w:rsidR="00363622" w:rsidRPr="00D25AED">
        <w:rPr>
          <w:rFonts w:asciiTheme="majorHAnsi" w:hAnsiTheme="majorHAnsi" w:cstheme="majorHAnsi"/>
        </w:rPr>
        <w:t>&amp;</w:t>
      </w:r>
      <w:r w:rsidRPr="00D25AED">
        <w:rPr>
          <w:rFonts w:asciiTheme="majorHAnsi" w:hAnsiTheme="majorHAnsi" w:cstheme="majorHAnsi"/>
        </w:rPr>
        <w:t xml:space="preserve"> Joosen, 2015). Therefor</w:t>
      </w:r>
      <w:r w:rsidR="00363622" w:rsidRPr="00D25AED">
        <w:rPr>
          <w:rFonts w:asciiTheme="majorHAnsi" w:hAnsiTheme="majorHAnsi" w:cstheme="majorHAnsi"/>
        </w:rPr>
        <w:t>e</w:t>
      </w:r>
      <w:r w:rsidRPr="00D25AED">
        <w:rPr>
          <w:rFonts w:asciiTheme="majorHAnsi" w:hAnsiTheme="majorHAnsi" w:cstheme="majorHAnsi"/>
        </w:rPr>
        <w:t>, STRIDE supports repeatable discussion and traceability, but still requires domain knowledge, accurate diagrams and review.</w:t>
      </w:r>
    </w:p>
    <w:p w14:paraId="0D58FEA7" w14:textId="53E18CA7" w:rsidR="005924CC" w:rsidRPr="00D25AED" w:rsidRDefault="00E47F95">
      <w:pPr>
        <w:rPr>
          <w:rFonts w:asciiTheme="majorHAnsi" w:hAnsiTheme="majorHAnsi" w:cstheme="majorHAnsi"/>
        </w:rPr>
      </w:pPr>
      <w:r w:rsidRPr="00D25AED">
        <w:rPr>
          <w:rFonts w:asciiTheme="majorHAnsi" w:hAnsiTheme="majorHAnsi" w:cstheme="majorHAnsi"/>
        </w:rPr>
        <w:t>A useful workflow is iterative: model a feature during design, record threat-to-control links in the backlog, review the model when trust boundaries or data flows change and compare implemented evidence with the original assumptions. Risk ranking should consider plausible attacker capability, likelihood, affected data or service, impact and control confidence. This research does not determine which CivicConnect threats are highest; Milestone 3 must make that judgement using the actual architecture and evidence.</w:t>
      </w:r>
    </w:p>
    <w:p w14:paraId="64916FC0" w14:textId="77777777" w:rsidR="002D426D" w:rsidRPr="00D25AED" w:rsidRDefault="002D426D">
      <w:pPr>
        <w:rPr>
          <w:rFonts w:asciiTheme="majorHAnsi" w:hAnsiTheme="majorHAnsi" w:cstheme="majorHAnsi"/>
        </w:rPr>
      </w:pPr>
    </w:p>
    <w:p w14:paraId="4DA61507" w14:textId="77777777" w:rsidR="002D426D" w:rsidRPr="00D25AED" w:rsidRDefault="002D426D">
      <w:pPr>
        <w:rPr>
          <w:rFonts w:asciiTheme="majorHAnsi" w:hAnsiTheme="majorHAnsi" w:cstheme="majorHAnsi"/>
        </w:rPr>
      </w:pPr>
    </w:p>
    <w:p w14:paraId="3DCF1C4F" w14:textId="77777777" w:rsidR="002D426D" w:rsidRPr="00D25AED" w:rsidRDefault="002D426D">
      <w:pPr>
        <w:rPr>
          <w:rFonts w:asciiTheme="majorHAnsi" w:hAnsiTheme="majorHAnsi" w:cstheme="majorHAnsi"/>
        </w:rPr>
      </w:pPr>
    </w:p>
    <w:p w14:paraId="724E571C" w14:textId="77777777" w:rsidR="002D426D" w:rsidRPr="00D25AED" w:rsidRDefault="002D426D">
      <w:pPr>
        <w:rPr>
          <w:rFonts w:asciiTheme="majorHAnsi" w:hAnsiTheme="majorHAnsi" w:cstheme="majorHAnsi"/>
        </w:rPr>
      </w:pPr>
    </w:p>
    <w:p w14:paraId="7B5E7ACF" w14:textId="77777777" w:rsidR="002D426D" w:rsidRPr="00D25AED" w:rsidRDefault="002D426D">
      <w:pPr>
        <w:rPr>
          <w:rFonts w:asciiTheme="majorHAnsi" w:hAnsiTheme="majorHAnsi" w:cstheme="majorHAnsi"/>
        </w:rPr>
      </w:pPr>
    </w:p>
    <w:p w14:paraId="26D2B3AF" w14:textId="77777777" w:rsidR="002D426D" w:rsidRPr="00D25AED" w:rsidRDefault="002D426D">
      <w:pPr>
        <w:rPr>
          <w:rFonts w:asciiTheme="majorHAnsi" w:hAnsiTheme="majorHAnsi" w:cstheme="majorHAnsi"/>
        </w:rPr>
      </w:pPr>
    </w:p>
    <w:p w14:paraId="5BC1A5A9" w14:textId="77777777" w:rsidR="002D426D" w:rsidRPr="00D25AED" w:rsidRDefault="002D426D">
      <w:pPr>
        <w:rPr>
          <w:rFonts w:asciiTheme="majorHAnsi" w:hAnsiTheme="majorHAnsi" w:cstheme="majorHAnsi"/>
        </w:rPr>
      </w:pPr>
    </w:p>
    <w:p w14:paraId="42B99039" w14:textId="77777777" w:rsidR="002D426D" w:rsidRPr="00D25AED" w:rsidRDefault="002D426D">
      <w:pPr>
        <w:rPr>
          <w:rFonts w:asciiTheme="majorHAnsi" w:hAnsiTheme="majorHAnsi" w:cstheme="majorHAnsi"/>
        </w:rPr>
      </w:pPr>
    </w:p>
    <w:p w14:paraId="720BED2A" w14:textId="77777777" w:rsidR="002D426D" w:rsidRPr="00D25AED" w:rsidRDefault="002D426D">
      <w:pPr>
        <w:rPr>
          <w:rFonts w:asciiTheme="majorHAnsi" w:hAnsiTheme="majorHAnsi" w:cstheme="majorHAnsi"/>
        </w:rPr>
      </w:pPr>
    </w:p>
    <w:p w14:paraId="2A2DF49B" w14:textId="264178C2" w:rsidR="005924CC" w:rsidRPr="00D25AED" w:rsidRDefault="00363622" w:rsidP="00363622">
      <w:pPr>
        <w:pStyle w:val="Heading2"/>
        <w:rPr>
          <w:rFonts w:cstheme="majorHAnsi"/>
        </w:rPr>
      </w:pPr>
      <w:r w:rsidRPr="00D25AED">
        <w:rPr>
          <w:rFonts w:cstheme="majorHAnsi"/>
        </w:rPr>
        <w:lastRenderedPageBreak/>
        <w:t>2.3 Threat to Control Traceability Table</w:t>
      </w:r>
    </w:p>
    <w:p w14:paraId="400DB108" w14:textId="77777777" w:rsidR="005924CC" w:rsidRPr="00D25AED" w:rsidRDefault="00E47F95">
      <w:pPr>
        <w:rPr>
          <w:rFonts w:asciiTheme="majorHAnsi" w:hAnsiTheme="majorHAnsi" w:cstheme="majorHAnsi"/>
        </w:rPr>
      </w:pPr>
      <w:r w:rsidRPr="00D25AED">
        <w:rPr>
          <w:rFonts w:asciiTheme="majorHAnsi" w:hAnsiTheme="majorHAnsi" w:cstheme="majorHAnsi"/>
        </w:rPr>
        <w:t>Table 1 traces four representative concern areas. Each row is a candidate reasoning chain for a modern web system, not a declaration that CivicConnect has selected the control.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1901"/>
        <w:gridCol w:w="2563"/>
        <w:gridCol w:w="2376"/>
        <w:gridCol w:w="1800"/>
      </w:tblGrid>
      <w:tr w:rsidR="005924CC" w:rsidRPr="00D25AED" w14:paraId="4819FF2C" w14:textId="77777777" w:rsidTr="004C12EA">
        <w:trPr>
          <w:tblHeader/>
          <w:jc w:val="center"/>
        </w:trPr>
        <w:tc>
          <w:tcPr>
            <w:tcW w:w="1800" w:type="dxa"/>
            <w:shd w:val="clear" w:color="auto" w:fill="0F243E" w:themeFill="text2" w:themeFillShade="80"/>
            <w:tcMar>
              <w:top w:w="100" w:type="dxa"/>
              <w:left w:w="85" w:type="dxa"/>
              <w:bottom w:w="100" w:type="dxa"/>
              <w:right w:w="85" w:type="dxa"/>
            </w:tcMar>
            <w:vAlign w:val="center"/>
          </w:tcPr>
          <w:p w14:paraId="684D47C3" w14:textId="77777777" w:rsidR="005924CC" w:rsidRPr="00D25AED" w:rsidRDefault="00E47F95" w:rsidP="00363622">
            <w:pPr>
              <w:jc w:val="center"/>
              <w:rPr>
                <w:rFonts w:asciiTheme="majorHAnsi" w:hAnsiTheme="majorHAnsi" w:cstheme="majorHAnsi"/>
              </w:rPr>
            </w:pPr>
            <w:r w:rsidRPr="00D25AED">
              <w:rPr>
                <w:rFonts w:asciiTheme="majorHAnsi" w:hAnsiTheme="majorHAnsi" w:cstheme="majorHAnsi"/>
                <w:b/>
                <w:color w:val="FFFFFF"/>
                <w:sz w:val="16"/>
              </w:rPr>
              <w:t>Threat or misuse</w:t>
            </w:r>
          </w:p>
        </w:tc>
        <w:tc>
          <w:tcPr>
            <w:tcW w:w="1901" w:type="dxa"/>
            <w:shd w:val="clear" w:color="auto" w:fill="0F243E" w:themeFill="text2" w:themeFillShade="80"/>
            <w:tcMar>
              <w:top w:w="100" w:type="dxa"/>
              <w:left w:w="85" w:type="dxa"/>
              <w:bottom w:w="100" w:type="dxa"/>
              <w:right w:w="85" w:type="dxa"/>
            </w:tcMar>
            <w:vAlign w:val="center"/>
          </w:tcPr>
          <w:p w14:paraId="77C6E518" w14:textId="77777777" w:rsidR="005924CC" w:rsidRPr="00D25AED" w:rsidRDefault="00E47F95" w:rsidP="00363622">
            <w:pPr>
              <w:jc w:val="center"/>
              <w:rPr>
                <w:rFonts w:asciiTheme="majorHAnsi" w:hAnsiTheme="majorHAnsi" w:cstheme="majorHAnsi"/>
              </w:rPr>
            </w:pPr>
            <w:r w:rsidRPr="00D25AED">
              <w:rPr>
                <w:rFonts w:asciiTheme="majorHAnsi" w:hAnsiTheme="majorHAnsi" w:cstheme="majorHAnsi"/>
                <w:b/>
                <w:color w:val="FFFFFF"/>
                <w:sz w:val="16"/>
              </w:rPr>
              <w:t>Security requirement or control objective</w:t>
            </w:r>
          </w:p>
        </w:tc>
        <w:tc>
          <w:tcPr>
            <w:tcW w:w="2563" w:type="dxa"/>
            <w:shd w:val="clear" w:color="auto" w:fill="0F243E" w:themeFill="text2" w:themeFillShade="80"/>
            <w:tcMar>
              <w:top w:w="100" w:type="dxa"/>
              <w:left w:w="85" w:type="dxa"/>
              <w:bottom w:w="100" w:type="dxa"/>
              <w:right w:w="85" w:type="dxa"/>
            </w:tcMar>
            <w:vAlign w:val="center"/>
          </w:tcPr>
          <w:p w14:paraId="244FC115" w14:textId="77777777" w:rsidR="005924CC" w:rsidRPr="00D25AED" w:rsidRDefault="00E47F95" w:rsidP="00363622">
            <w:pPr>
              <w:jc w:val="center"/>
              <w:rPr>
                <w:rFonts w:asciiTheme="majorHAnsi" w:hAnsiTheme="majorHAnsi" w:cstheme="majorHAnsi"/>
              </w:rPr>
            </w:pPr>
            <w:r w:rsidRPr="00D25AED">
              <w:rPr>
                <w:rFonts w:asciiTheme="majorHAnsi" w:hAnsiTheme="majorHAnsi" w:cstheme="majorHAnsi"/>
                <w:b/>
                <w:color w:val="FFFFFF"/>
                <w:sz w:val="16"/>
              </w:rPr>
              <w:t>Possible engineering control</w:t>
            </w:r>
          </w:p>
        </w:tc>
        <w:tc>
          <w:tcPr>
            <w:tcW w:w="2376" w:type="dxa"/>
            <w:shd w:val="clear" w:color="auto" w:fill="0F243E" w:themeFill="text2" w:themeFillShade="80"/>
            <w:tcMar>
              <w:top w:w="100" w:type="dxa"/>
              <w:left w:w="85" w:type="dxa"/>
              <w:bottom w:w="100" w:type="dxa"/>
              <w:right w:w="85" w:type="dxa"/>
            </w:tcMar>
            <w:vAlign w:val="center"/>
          </w:tcPr>
          <w:p w14:paraId="22AF03BE" w14:textId="77777777" w:rsidR="005924CC" w:rsidRPr="00D25AED" w:rsidRDefault="00E47F95" w:rsidP="00363622">
            <w:pPr>
              <w:jc w:val="center"/>
              <w:rPr>
                <w:rFonts w:asciiTheme="majorHAnsi" w:hAnsiTheme="majorHAnsi" w:cstheme="majorHAnsi"/>
              </w:rPr>
            </w:pPr>
            <w:r w:rsidRPr="00D25AED">
              <w:rPr>
                <w:rFonts w:asciiTheme="majorHAnsi" w:hAnsiTheme="majorHAnsi" w:cstheme="majorHAnsi"/>
                <w:b/>
                <w:color w:val="FFFFFF"/>
                <w:sz w:val="16"/>
              </w:rPr>
              <w:t>Verification evidence</w:t>
            </w:r>
          </w:p>
        </w:tc>
        <w:tc>
          <w:tcPr>
            <w:tcW w:w="1800" w:type="dxa"/>
            <w:shd w:val="clear" w:color="auto" w:fill="0F243E" w:themeFill="text2" w:themeFillShade="80"/>
            <w:tcMar>
              <w:top w:w="100" w:type="dxa"/>
              <w:left w:w="85" w:type="dxa"/>
              <w:bottom w:w="100" w:type="dxa"/>
              <w:right w:w="85" w:type="dxa"/>
            </w:tcMar>
            <w:vAlign w:val="center"/>
          </w:tcPr>
          <w:p w14:paraId="2F2F63F2" w14:textId="77777777" w:rsidR="005924CC" w:rsidRPr="00D25AED" w:rsidRDefault="00E47F95" w:rsidP="00363622">
            <w:pPr>
              <w:jc w:val="center"/>
              <w:rPr>
                <w:rFonts w:asciiTheme="majorHAnsi" w:hAnsiTheme="majorHAnsi" w:cstheme="majorHAnsi"/>
              </w:rPr>
            </w:pPr>
            <w:r w:rsidRPr="00D25AED">
              <w:rPr>
                <w:rFonts w:asciiTheme="majorHAnsi" w:hAnsiTheme="majorHAnsi" w:cstheme="majorHAnsi"/>
                <w:b/>
                <w:color w:val="FFFFFF"/>
                <w:sz w:val="16"/>
              </w:rPr>
              <w:t>Residual risk or limitation</w:t>
            </w:r>
          </w:p>
        </w:tc>
      </w:tr>
      <w:tr w:rsidR="005924CC" w:rsidRPr="00D25AED" w14:paraId="0428B29D" w14:textId="77777777" w:rsidTr="00250527">
        <w:trPr>
          <w:cantSplit/>
          <w:jc w:val="center"/>
        </w:trPr>
        <w:tc>
          <w:tcPr>
            <w:tcW w:w="1800" w:type="dxa"/>
            <w:tcMar>
              <w:top w:w="85" w:type="dxa"/>
              <w:left w:w="75" w:type="dxa"/>
              <w:bottom w:w="85" w:type="dxa"/>
              <w:right w:w="75" w:type="dxa"/>
            </w:tcMar>
            <w:vAlign w:val="center"/>
          </w:tcPr>
          <w:p w14:paraId="285F2708" w14:textId="77777777" w:rsidR="005924CC" w:rsidRPr="00D25AED" w:rsidRDefault="00E47F95">
            <w:pPr>
              <w:spacing w:after="40" w:line="240" w:lineRule="auto"/>
              <w:rPr>
                <w:rFonts w:asciiTheme="majorHAnsi" w:hAnsiTheme="majorHAnsi" w:cstheme="majorHAnsi"/>
              </w:rPr>
            </w:pPr>
            <w:r w:rsidRPr="00D25AED">
              <w:rPr>
                <w:rFonts w:asciiTheme="majorHAnsi" w:hAnsiTheme="majorHAnsi" w:cstheme="majorHAnsi"/>
                <w:sz w:val="15"/>
              </w:rPr>
              <w:t>Authentication: credential stuffing, password spraying or session theft lets an attacker impersonate a legitimate user.</w:t>
            </w:r>
          </w:p>
        </w:tc>
        <w:tc>
          <w:tcPr>
            <w:tcW w:w="1901" w:type="dxa"/>
            <w:tcMar>
              <w:top w:w="85" w:type="dxa"/>
              <w:left w:w="75" w:type="dxa"/>
              <w:bottom w:w="85" w:type="dxa"/>
              <w:right w:w="75" w:type="dxa"/>
            </w:tcMar>
            <w:vAlign w:val="center"/>
          </w:tcPr>
          <w:p w14:paraId="656934E5" w14:textId="77777777" w:rsidR="005924CC" w:rsidRPr="00D25AED" w:rsidRDefault="00E47F95">
            <w:pPr>
              <w:spacing w:after="40" w:line="240" w:lineRule="auto"/>
              <w:rPr>
                <w:rFonts w:asciiTheme="majorHAnsi" w:hAnsiTheme="majorHAnsi" w:cstheme="majorHAnsi"/>
              </w:rPr>
            </w:pPr>
            <w:r w:rsidRPr="00D25AED">
              <w:rPr>
                <w:rFonts w:asciiTheme="majorHAnsi" w:hAnsiTheme="majorHAnsi" w:cstheme="majorHAnsi"/>
                <w:sz w:val="15"/>
              </w:rPr>
              <w:t>Verify identity with resistance proportionate to account risk; slow automated guessing; protect credentials and sessions; support secure recovery.</w:t>
            </w:r>
          </w:p>
        </w:tc>
        <w:tc>
          <w:tcPr>
            <w:tcW w:w="2563" w:type="dxa"/>
            <w:tcMar>
              <w:top w:w="85" w:type="dxa"/>
              <w:left w:w="75" w:type="dxa"/>
              <w:bottom w:w="85" w:type="dxa"/>
              <w:right w:w="75" w:type="dxa"/>
            </w:tcMar>
            <w:vAlign w:val="center"/>
          </w:tcPr>
          <w:p w14:paraId="101F30FA" w14:textId="0EBF3807" w:rsidR="005924CC" w:rsidRPr="00D25AED" w:rsidRDefault="00E47F95">
            <w:pPr>
              <w:spacing w:after="40" w:line="240" w:lineRule="auto"/>
              <w:rPr>
                <w:rFonts w:asciiTheme="majorHAnsi" w:hAnsiTheme="majorHAnsi" w:cstheme="majorHAnsi"/>
              </w:rPr>
            </w:pPr>
            <w:r w:rsidRPr="00D25AED">
              <w:rPr>
                <w:rFonts w:asciiTheme="majorHAnsi" w:hAnsiTheme="majorHAnsi" w:cstheme="majorHAnsi"/>
                <w:sz w:val="15"/>
              </w:rPr>
              <w:t>Candidate controls include centrally enforced authentication, breached-password screening, rate limits, secure password hashing, MFA for higher-risk actions, short-lived and rotated sessions, Secure/HttpOnly/SameSite cookies and re-authentication before sensitive changes. NIST SP 800-63B-4 treats authentication assurance, verifier compromise and phishing resistance as distinct design concerns (Temoshok et al., 2025).</w:t>
            </w:r>
          </w:p>
        </w:tc>
        <w:tc>
          <w:tcPr>
            <w:tcW w:w="2376" w:type="dxa"/>
            <w:tcMar>
              <w:top w:w="85" w:type="dxa"/>
              <w:left w:w="75" w:type="dxa"/>
              <w:bottom w:w="85" w:type="dxa"/>
              <w:right w:w="75" w:type="dxa"/>
            </w:tcMar>
            <w:vAlign w:val="center"/>
          </w:tcPr>
          <w:p w14:paraId="17A69CFF" w14:textId="77777777" w:rsidR="005924CC" w:rsidRPr="00D25AED" w:rsidRDefault="00E47F95">
            <w:pPr>
              <w:spacing w:after="40" w:line="240" w:lineRule="auto"/>
              <w:rPr>
                <w:rFonts w:asciiTheme="majorHAnsi" w:hAnsiTheme="majorHAnsi" w:cstheme="majorHAnsi"/>
              </w:rPr>
            </w:pPr>
            <w:r w:rsidRPr="00D25AED">
              <w:rPr>
                <w:rFonts w:asciiTheme="majorHAnsi" w:hAnsiTheme="majorHAnsi" w:cstheme="majorHAnsi"/>
                <w:sz w:val="15"/>
              </w:rPr>
              <w:t>Automated tests for lockout/rate-limit and session expiry; password-storage configuration review; tests for session fixation and logout invalidation; negative authentication cases; controlled credential-stuffing simulation; MFA enrolment, recovery and bypass tests; independent penetration testing.</w:t>
            </w:r>
          </w:p>
        </w:tc>
        <w:tc>
          <w:tcPr>
            <w:tcW w:w="1800" w:type="dxa"/>
            <w:tcMar>
              <w:top w:w="85" w:type="dxa"/>
              <w:left w:w="75" w:type="dxa"/>
              <w:bottom w:w="85" w:type="dxa"/>
              <w:right w:w="75" w:type="dxa"/>
            </w:tcMar>
            <w:vAlign w:val="center"/>
          </w:tcPr>
          <w:p w14:paraId="6DE1A29F" w14:textId="77777777" w:rsidR="005924CC" w:rsidRPr="00D25AED" w:rsidRDefault="00E47F95">
            <w:pPr>
              <w:spacing w:after="40" w:line="240" w:lineRule="auto"/>
              <w:rPr>
                <w:rFonts w:asciiTheme="majorHAnsi" w:hAnsiTheme="majorHAnsi" w:cstheme="majorHAnsi"/>
              </w:rPr>
            </w:pPr>
            <w:r w:rsidRPr="00D25AED">
              <w:rPr>
                <w:rFonts w:asciiTheme="majorHAnsi" w:hAnsiTheme="majorHAnsi" w:cstheme="majorHAnsi"/>
                <w:sz w:val="15"/>
              </w:rPr>
              <w:t>MFA may still be phishable; recovery can become the weakest path; distributed low-rate attacks can evade thresholds; valid credentials may already be compromised; usability and availability trade-offs remain.</w:t>
            </w:r>
          </w:p>
        </w:tc>
      </w:tr>
      <w:tr w:rsidR="005924CC" w:rsidRPr="00D25AED" w14:paraId="5C2AEBBD" w14:textId="77777777" w:rsidTr="00250527">
        <w:trPr>
          <w:cantSplit/>
          <w:jc w:val="center"/>
        </w:trPr>
        <w:tc>
          <w:tcPr>
            <w:tcW w:w="1800" w:type="dxa"/>
            <w:tcMar>
              <w:top w:w="85" w:type="dxa"/>
              <w:left w:w="75" w:type="dxa"/>
              <w:bottom w:w="85" w:type="dxa"/>
              <w:right w:w="75" w:type="dxa"/>
            </w:tcMar>
            <w:vAlign w:val="center"/>
          </w:tcPr>
          <w:p w14:paraId="2858E676" w14:textId="77777777" w:rsidR="005924CC" w:rsidRPr="00D25AED" w:rsidRDefault="00E47F95">
            <w:pPr>
              <w:spacing w:after="40" w:line="240" w:lineRule="auto"/>
              <w:rPr>
                <w:rFonts w:asciiTheme="majorHAnsi" w:hAnsiTheme="majorHAnsi" w:cstheme="majorHAnsi"/>
              </w:rPr>
            </w:pPr>
            <w:r w:rsidRPr="00D25AED">
              <w:rPr>
                <w:rFonts w:asciiTheme="majorHAnsi" w:hAnsiTheme="majorHAnsi" w:cstheme="majorHAnsi"/>
                <w:sz w:val="15"/>
              </w:rPr>
              <w:t>Authorisation and access control: an authenticated ordinary user changes an object identifier or calls an administrative API to read or modify another user’s record.</w:t>
            </w:r>
          </w:p>
        </w:tc>
        <w:tc>
          <w:tcPr>
            <w:tcW w:w="1901" w:type="dxa"/>
            <w:tcMar>
              <w:top w:w="85" w:type="dxa"/>
              <w:left w:w="75" w:type="dxa"/>
              <w:bottom w:w="85" w:type="dxa"/>
              <w:right w:w="75" w:type="dxa"/>
            </w:tcMar>
            <w:vAlign w:val="center"/>
          </w:tcPr>
          <w:p w14:paraId="758E03E5" w14:textId="77777777" w:rsidR="005924CC" w:rsidRPr="00D25AED" w:rsidRDefault="00E47F95">
            <w:pPr>
              <w:spacing w:after="40" w:line="240" w:lineRule="auto"/>
              <w:rPr>
                <w:rFonts w:asciiTheme="majorHAnsi" w:hAnsiTheme="majorHAnsi" w:cstheme="majorHAnsi"/>
              </w:rPr>
            </w:pPr>
            <w:r w:rsidRPr="00D25AED">
              <w:rPr>
                <w:rFonts w:asciiTheme="majorHAnsi" w:hAnsiTheme="majorHAnsi" w:cstheme="majorHAnsi"/>
                <w:sz w:val="15"/>
              </w:rPr>
              <w:t>Every request must be authorised server-side against the authenticated subject, requested action, target object and current policy; privileges must be least necessary and denied by default.</w:t>
            </w:r>
          </w:p>
        </w:tc>
        <w:tc>
          <w:tcPr>
            <w:tcW w:w="2563" w:type="dxa"/>
            <w:tcMar>
              <w:top w:w="85" w:type="dxa"/>
              <w:left w:w="75" w:type="dxa"/>
              <w:bottom w:w="85" w:type="dxa"/>
              <w:right w:w="75" w:type="dxa"/>
            </w:tcMar>
            <w:vAlign w:val="center"/>
          </w:tcPr>
          <w:p w14:paraId="64386FE2" w14:textId="782CD3D9" w:rsidR="005924CC" w:rsidRPr="00D25AED" w:rsidRDefault="00E47F95">
            <w:pPr>
              <w:spacing w:after="40" w:line="240" w:lineRule="auto"/>
              <w:rPr>
                <w:rFonts w:asciiTheme="majorHAnsi" w:hAnsiTheme="majorHAnsi" w:cstheme="majorHAnsi"/>
              </w:rPr>
            </w:pPr>
            <w:r w:rsidRPr="00D25AED">
              <w:rPr>
                <w:rFonts w:asciiTheme="majorHAnsi" w:hAnsiTheme="majorHAnsi" w:cstheme="majorHAnsi"/>
                <w:sz w:val="15"/>
              </w:rPr>
              <w:t xml:space="preserve">Candidate controls include a central policy-enforcement layer, object-level checks after data lookup, role/attribute rules, tenant scoping in queries, non-predictable identifiers as </w:t>
            </w:r>
            <w:proofErr w:type="spellStart"/>
            <w:r w:rsidRPr="00D25AED">
              <w:rPr>
                <w:rFonts w:asciiTheme="majorHAnsi" w:hAnsiTheme="majorHAnsi" w:cstheme="majorHAnsi"/>
                <w:sz w:val="15"/>
              </w:rPr>
              <w:t>defence</w:t>
            </w:r>
            <w:proofErr w:type="spellEnd"/>
            <w:r w:rsidRPr="00D25AED">
              <w:rPr>
                <w:rFonts w:asciiTheme="majorHAnsi" w:hAnsiTheme="majorHAnsi" w:cstheme="majorHAnsi"/>
                <w:sz w:val="15"/>
              </w:rPr>
              <w:t xml:space="preserve"> in depth and privileged-action separation. Least privilege, fail-safe defaults and complete mediation are established design principles (Saltzer </w:t>
            </w:r>
            <w:r w:rsidR="00250527" w:rsidRPr="00D25AED">
              <w:rPr>
                <w:rFonts w:asciiTheme="majorHAnsi" w:hAnsiTheme="majorHAnsi" w:cstheme="majorHAnsi"/>
                <w:sz w:val="15"/>
              </w:rPr>
              <w:t>&amp;</w:t>
            </w:r>
            <w:r w:rsidRPr="00D25AED">
              <w:rPr>
                <w:rFonts w:asciiTheme="majorHAnsi" w:hAnsiTheme="majorHAnsi" w:cstheme="majorHAnsi"/>
                <w:sz w:val="15"/>
              </w:rPr>
              <w:t xml:space="preserve"> Schroeder, 1975).</w:t>
            </w:r>
          </w:p>
        </w:tc>
        <w:tc>
          <w:tcPr>
            <w:tcW w:w="2376" w:type="dxa"/>
            <w:tcMar>
              <w:top w:w="85" w:type="dxa"/>
              <w:left w:w="75" w:type="dxa"/>
              <w:bottom w:w="85" w:type="dxa"/>
              <w:right w:w="75" w:type="dxa"/>
            </w:tcMar>
            <w:vAlign w:val="center"/>
          </w:tcPr>
          <w:p w14:paraId="64292F81" w14:textId="77777777" w:rsidR="005924CC" w:rsidRPr="00D25AED" w:rsidRDefault="00E47F95">
            <w:pPr>
              <w:spacing w:after="40" w:line="240" w:lineRule="auto"/>
              <w:rPr>
                <w:rFonts w:asciiTheme="majorHAnsi" w:hAnsiTheme="majorHAnsi" w:cstheme="majorHAnsi"/>
              </w:rPr>
            </w:pPr>
            <w:r w:rsidRPr="00D25AED">
              <w:rPr>
                <w:rFonts w:asciiTheme="majorHAnsi" w:hAnsiTheme="majorHAnsi" w:cstheme="majorHAnsi"/>
                <w:sz w:val="15"/>
              </w:rPr>
              <w:t>Role-permission matrix review; unit tests for policy rules; integration tests covering each endpoint and object operation; negative cross-user and cross-tenant tests; forced-browsing tests; code review tracing routes to authorisation middleware; audit-log review for denied and privileged actions.</w:t>
            </w:r>
          </w:p>
        </w:tc>
        <w:tc>
          <w:tcPr>
            <w:tcW w:w="1800" w:type="dxa"/>
            <w:tcMar>
              <w:top w:w="85" w:type="dxa"/>
              <w:left w:w="75" w:type="dxa"/>
              <w:bottom w:w="85" w:type="dxa"/>
              <w:right w:w="75" w:type="dxa"/>
            </w:tcMar>
            <w:vAlign w:val="center"/>
          </w:tcPr>
          <w:p w14:paraId="1B10521D" w14:textId="77777777" w:rsidR="005924CC" w:rsidRPr="00D25AED" w:rsidRDefault="00E47F95">
            <w:pPr>
              <w:spacing w:after="40" w:line="240" w:lineRule="auto"/>
              <w:rPr>
                <w:rFonts w:asciiTheme="majorHAnsi" w:hAnsiTheme="majorHAnsi" w:cstheme="majorHAnsi"/>
              </w:rPr>
            </w:pPr>
            <w:r w:rsidRPr="00D25AED">
              <w:rPr>
                <w:rFonts w:asciiTheme="majorHAnsi" w:hAnsiTheme="majorHAnsi" w:cstheme="majorHAnsi"/>
                <w:sz w:val="15"/>
              </w:rPr>
              <w:t>A correct role model may still encode the wrong business policy; missing endpoints or background jobs can bypass the enforcement point; stale entitlements and administrator misuse remain; tests cover sampled identities and objects.</w:t>
            </w:r>
          </w:p>
        </w:tc>
      </w:tr>
      <w:tr w:rsidR="005924CC" w:rsidRPr="00D25AED" w14:paraId="6C87C56C" w14:textId="77777777" w:rsidTr="00250527">
        <w:trPr>
          <w:cantSplit/>
          <w:jc w:val="center"/>
        </w:trPr>
        <w:tc>
          <w:tcPr>
            <w:tcW w:w="1800" w:type="dxa"/>
            <w:tcMar>
              <w:top w:w="85" w:type="dxa"/>
              <w:left w:w="75" w:type="dxa"/>
              <w:bottom w:w="85" w:type="dxa"/>
              <w:right w:w="75" w:type="dxa"/>
            </w:tcMar>
            <w:vAlign w:val="center"/>
          </w:tcPr>
          <w:p w14:paraId="75A29D41" w14:textId="77777777" w:rsidR="005924CC" w:rsidRPr="00D25AED" w:rsidRDefault="00E47F95">
            <w:pPr>
              <w:spacing w:after="40" w:line="240" w:lineRule="auto"/>
              <w:rPr>
                <w:rFonts w:asciiTheme="majorHAnsi" w:hAnsiTheme="majorHAnsi" w:cstheme="majorHAnsi"/>
              </w:rPr>
            </w:pPr>
            <w:r w:rsidRPr="00D25AED">
              <w:rPr>
                <w:rFonts w:asciiTheme="majorHAnsi" w:hAnsiTheme="majorHAnsi" w:cstheme="majorHAnsi"/>
                <w:sz w:val="15"/>
              </w:rPr>
              <w:t>Secrets and configuration: an API key, database password or signing key is committed to source control or exposed in build logs, enabling data access or service impersonation.</w:t>
            </w:r>
          </w:p>
        </w:tc>
        <w:tc>
          <w:tcPr>
            <w:tcW w:w="1901" w:type="dxa"/>
            <w:tcMar>
              <w:top w:w="85" w:type="dxa"/>
              <w:left w:w="75" w:type="dxa"/>
              <w:bottom w:w="85" w:type="dxa"/>
              <w:right w:w="75" w:type="dxa"/>
            </w:tcMar>
            <w:vAlign w:val="center"/>
          </w:tcPr>
          <w:p w14:paraId="7A77C085" w14:textId="7DCC03CF" w:rsidR="005924CC" w:rsidRPr="00D25AED" w:rsidRDefault="00E47F95">
            <w:pPr>
              <w:spacing w:after="40" w:line="240" w:lineRule="auto"/>
              <w:rPr>
                <w:rFonts w:asciiTheme="majorHAnsi" w:hAnsiTheme="majorHAnsi" w:cstheme="majorHAnsi"/>
              </w:rPr>
            </w:pPr>
            <w:r w:rsidRPr="00D25AED">
              <w:rPr>
                <w:rFonts w:asciiTheme="majorHAnsi" w:hAnsiTheme="majorHAnsi" w:cstheme="majorHAnsi"/>
                <w:sz w:val="15"/>
              </w:rPr>
              <w:t>Secrets must remain outside source and ordinary logs, be available only to authorised workloads and people, be rotated and revoked and have traceable use; production configuration must fail safely.</w:t>
            </w:r>
          </w:p>
        </w:tc>
        <w:tc>
          <w:tcPr>
            <w:tcW w:w="2563" w:type="dxa"/>
            <w:tcMar>
              <w:top w:w="85" w:type="dxa"/>
              <w:left w:w="75" w:type="dxa"/>
              <w:bottom w:w="85" w:type="dxa"/>
              <w:right w:w="75" w:type="dxa"/>
            </w:tcMar>
            <w:vAlign w:val="center"/>
          </w:tcPr>
          <w:p w14:paraId="5F219C89" w14:textId="6C298045" w:rsidR="005924CC" w:rsidRPr="00D25AED" w:rsidRDefault="00E47F95">
            <w:pPr>
              <w:spacing w:after="40" w:line="240" w:lineRule="auto"/>
              <w:rPr>
                <w:rFonts w:asciiTheme="majorHAnsi" w:hAnsiTheme="majorHAnsi" w:cstheme="majorHAnsi"/>
              </w:rPr>
            </w:pPr>
            <w:r w:rsidRPr="00D25AED">
              <w:rPr>
                <w:rFonts w:asciiTheme="majorHAnsi" w:hAnsiTheme="majorHAnsi" w:cstheme="majorHAnsi"/>
                <w:sz w:val="15"/>
              </w:rPr>
              <w:t xml:space="preserve">Candidate controls include a managed secret store, runtime identity instead of static keys where possible, least-privilege access, environment-specific injection, redaction, protected CI variables, key rotation and an incident process for leaked credentials. Large-scale research found persistent secret leakage in public repositories, demonstrating that process controls alone are insufficient (Meli, McNiece </w:t>
            </w:r>
            <w:r w:rsidR="00250527" w:rsidRPr="00D25AED">
              <w:rPr>
                <w:rFonts w:asciiTheme="majorHAnsi" w:hAnsiTheme="majorHAnsi" w:cstheme="majorHAnsi"/>
                <w:sz w:val="15"/>
              </w:rPr>
              <w:t>&amp;</w:t>
            </w:r>
            <w:r w:rsidRPr="00D25AED">
              <w:rPr>
                <w:rFonts w:asciiTheme="majorHAnsi" w:hAnsiTheme="majorHAnsi" w:cstheme="majorHAnsi"/>
                <w:sz w:val="15"/>
              </w:rPr>
              <w:t xml:space="preserve"> Reaves, 2019).</w:t>
            </w:r>
          </w:p>
        </w:tc>
        <w:tc>
          <w:tcPr>
            <w:tcW w:w="2376" w:type="dxa"/>
            <w:tcMar>
              <w:top w:w="85" w:type="dxa"/>
              <w:left w:w="75" w:type="dxa"/>
              <w:bottom w:w="85" w:type="dxa"/>
              <w:right w:w="75" w:type="dxa"/>
            </w:tcMar>
            <w:vAlign w:val="center"/>
          </w:tcPr>
          <w:p w14:paraId="277F151A" w14:textId="77777777" w:rsidR="005924CC" w:rsidRPr="00D25AED" w:rsidRDefault="00E47F95">
            <w:pPr>
              <w:spacing w:after="40" w:line="240" w:lineRule="auto"/>
              <w:rPr>
                <w:rFonts w:asciiTheme="majorHAnsi" w:hAnsiTheme="majorHAnsi" w:cstheme="majorHAnsi"/>
              </w:rPr>
            </w:pPr>
            <w:r w:rsidRPr="00D25AED">
              <w:rPr>
                <w:rFonts w:asciiTheme="majorHAnsi" w:hAnsiTheme="majorHAnsi" w:cstheme="majorHAnsi"/>
                <w:sz w:val="15"/>
              </w:rPr>
              <w:t>Repository-history and CI-log secret scans; configuration review; access-policy tests; deployment test proving secrets are injected without appearing in artefacts; rotation and revocation exercise; canary-secret monitoring; review of logs and crash reports for disclosure.</w:t>
            </w:r>
          </w:p>
        </w:tc>
        <w:tc>
          <w:tcPr>
            <w:tcW w:w="1800" w:type="dxa"/>
            <w:tcMar>
              <w:top w:w="85" w:type="dxa"/>
              <w:left w:w="75" w:type="dxa"/>
              <w:bottom w:w="85" w:type="dxa"/>
              <w:right w:w="75" w:type="dxa"/>
            </w:tcMar>
            <w:vAlign w:val="center"/>
          </w:tcPr>
          <w:p w14:paraId="51595E69" w14:textId="77777777" w:rsidR="005924CC" w:rsidRPr="00D25AED" w:rsidRDefault="00E47F95">
            <w:pPr>
              <w:spacing w:after="40" w:line="240" w:lineRule="auto"/>
              <w:rPr>
                <w:rFonts w:asciiTheme="majorHAnsi" w:hAnsiTheme="majorHAnsi" w:cstheme="majorHAnsi"/>
              </w:rPr>
            </w:pPr>
            <w:r w:rsidRPr="00D25AED">
              <w:rPr>
                <w:rFonts w:asciiTheme="majorHAnsi" w:hAnsiTheme="majorHAnsi" w:cstheme="majorHAnsi"/>
                <w:sz w:val="15"/>
              </w:rPr>
              <w:t>Scanners miss novel formats and produce false positives; deleted Git content may persist in clones and caches; a detected secret may already have been abused; rotation can fail because of hidden consumers; the store itself becomes high value.</w:t>
            </w:r>
          </w:p>
        </w:tc>
      </w:tr>
      <w:tr w:rsidR="005924CC" w:rsidRPr="00D25AED" w14:paraId="1BF3B752" w14:textId="77777777" w:rsidTr="00250527">
        <w:trPr>
          <w:cantSplit/>
          <w:jc w:val="center"/>
        </w:trPr>
        <w:tc>
          <w:tcPr>
            <w:tcW w:w="1800" w:type="dxa"/>
            <w:tcMar>
              <w:top w:w="85" w:type="dxa"/>
              <w:left w:w="75" w:type="dxa"/>
              <w:bottom w:w="85" w:type="dxa"/>
              <w:right w:w="75" w:type="dxa"/>
            </w:tcMar>
            <w:vAlign w:val="center"/>
          </w:tcPr>
          <w:p w14:paraId="2FADB3ED" w14:textId="77777777" w:rsidR="005924CC" w:rsidRPr="00D25AED" w:rsidRDefault="00E47F95">
            <w:pPr>
              <w:spacing w:after="40" w:line="240" w:lineRule="auto"/>
              <w:rPr>
                <w:rFonts w:asciiTheme="majorHAnsi" w:hAnsiTheme="majorHAnsi" w:cstheme="majorHAnsi"/>
              </w:rPr>
            </w:pPr>
            <w:r w:rsidRPr="00D25AED">
              <w:rPr>
                <w:rFonts w:asciiTheme="majorHAnsi" w:hAnsiTheme="majorHAnsi" w:cstheme="majorHAnsi"/>
                <w:sz w:val="15"/>
              </w:rPr>
              <w:t>Input and data handling: attacker-controlled form or API input changes the meaning of a database command, script or downstream query, causing injection, disclosure or corruption.</w:t>
            </w:r>
          </w:p>
        </w:tc>
        <w:tc>
          <w:tcPr>
            <w:tcW w:w="1901" w:type="dxa"/>
            <w:tcMar>
              <w:top w:w="85" w:type="dxa"/>
              <w:left w:w="75" w:type="dxa"/>
              <w:bottom w:w="85" w:type="dxa"/>
              <w:right w:w="75" w:type="dxa"/>
            </w:tcMar>
            <w:vAlign w:val="center"/>
          </w:tcPr>
          <w:p w14:paraId="35DC4FF5" w14:textId="77777777" w:rsidR="005924CC" w:rsidRPr="00D25AED" w:rsidRDefault="00E47F95">
            <w:pPr>
              <w:spacing w:after="40" w:line="240" w:lineRule="auto"/>
              <w:rPr>
                <w:rFonts w:asciiTheme="majorHAnsi" w:hAnsiTheme="majorHAnsi" w:cstheme="majorHAnsi"/>
              </w:rPr>
            </w:pPr>
            <w:r w:rsidRPr="00D25AED">
              <w:rPr>
                <w:rFonts w:asciiTheme="majorHAnsi" w:hAnsiTheme="majorHAnsi" w:cstheme="majorHAnsi"/>
                <w:sz w:val="15"/>
              </w:rPr>
              <w:t>Treat external data as untrusted; enforce syntactic and semantic constraints; keep data separate from commands; encode output for its context; reject unsafe state changes and limit database privilege.</w:t>
            </w:r>
          </w:p>
        </w:tc>
        <w:tc>
          <w:tcPr>
            <w:tcW w:w="2563" w:type="dxa"/>
            <w:tcMar>
              <w:top w:w="85" w:type="dxa"/>
              <w:left w:w="75" w:type="dxa"/>
              <w:bottom w:w="85" w:type="dxa"/>
              <w:right w:w="75" w:type="dxa"/>
            </w:tcMar>
            <w:vAlign w:val="center"/>
          </w:tcPr>
          <w:p w14:paraId="5FF44112" w14:textId="195FE8D9" w:rsidR="005924CC" w:rsidRPr="00D25AED" w:rsidRDefault="00E47F95">
            <w:pPr>
              <w:spacing w:after="40" w:line="240" w:lineRule="auto"/>
              <w:rPr>
                <w:rFonts w:asciiTheme="majorHAnsi" w:hAnsiTheme="majorHAnsi" w:cstheme="majorHAnsi"/>
              </w:rPr>
            </w:pPr>
            <w:r w:rsidRPr="00D25AED">
              <w:rPr>
                <w:rFonts w:asciiTheme="majorHAnsi" w:hAnsiTheme="majorHAnsi" w:cstheme="majorHAnsi"/>
                <w:sz w:val="15"/>
              </w:rPr>
              <w:t>Candidate controls include parameterised queries, safe framework APIs, allow-list validation at trust boundaries, canonicalisation before validation, contextual output encoding, safe file handling, request-size limits and least-privilege database accounts. SQL-injection research shows that attacks exploit unchecked input reaching query construction and that countermeasures differ in coverage (</w:t>
            </w:r>
            <w:proofErr w:type="spellStart"/>
            <w:r w:rsidRPr="00D25AED">
              <w:rPr>
                <w:rFonts w:asciiTheme="majorHAnsi" w:hAnsiTheme="majorHAnsi" w:cstheme="majorHAnsi"/>
                <w:sz w:val="15"/>
              </w:rPr>
              <w:t>Halfond</w:t>
            </w:r>
            <w:proofErr w:type="spellEnd"/>
            <w:r w:rsidRPr="00D25AED">
              <w:rPr>
                <w:rFonts w:asciiTheme="majorHAnsi" w:hAnsiTheme="majorHAnsi" w:cstheme="majorHAnsi"/>
                <w:sz w:val="15"/>
              </w:rPr>
              <w:t xml:space="preserve">, Viegas </w:t>
            </w:r>
            <w:r w:rsidR="00250527" w:rsidRPr="00D25AED">
              <w:rPr>
                <w:rFonts w:asciiTheme="majorHAnsi" w:hAnsiTheme="majorHAnsi" w:cstheme="majorHAnsi"/>
                <w:sz w:val="15"/>
              </w:rPr>
              <w:t>&amp;</w:t>
            </w:r>
            <w:r w:rsidRPr="00D25AED">
              <w:rPr>
                <w:rFonts w:asciiTheme="majorHAnsi" w:hAnsiTheme="majorHAnsi" w:cstheme="majorHAnsi"/>
                <w:sz w:val="15"/>
              </w:rPr>
              <w:t xml:space="preserve"> Orso, 2006).</w:t>
            </w:r>
          </w:p>
        </w:tc>
        <w:tc>
          <w:tcPr>
            <w:tcW w:w="2376" w:type="dxa"/>
            <w:tcMar>
              <w:top w:w="85" w:type="dxa"/>
              <w:left w:w="75" w:type="dxa"/>
              <w:bottom w:w="85" w:type="dxa"/>
              <w:right w:w="75" w:type="dxa"/>
            </w:tcMar>
            <w:vAlign w:val="center"/>
          </w:tcPr>
          <w:p w14:paraId="38712BED" w14:textId="77777777" w:rsidR="005924CC" w:rsidRPr="00D25AED" w:rsidRDefault="00E47F95">
            <w:pPr>
              <w:spacing w:after="40" w:line="240" w:lineRule="auto"/>
              <w:rPr>
                <w:rFonts w:asciiTheme="majorHAnsi" w:hAnsiTheme="majorHAnsi" w:cstheme="majorHAnsi"/>
              </w:rPr>
            </w:pPr>
            <w:r w:rsidRPr="00D25AED">
              <w:rPr>
                <w:rFonts w:asciiTheme="majorHAnsi" w:hAnsiTheme="majorHAnsi" w:cstheme="majorHAnsi"/>
                <w:sz w:val="15"/>
              </w:rPr>
              <w:t>Unit tests for validators and encoders; API boundary tests including malformed, oversized and unexpected types; SAST taint-flow findings reviewed by humans; DAST/fuzzing against deployed routes; targeted SQL/XSS test cases; database-permission tests; code review of dangerous sinks.</w:t>
            </w:r>
          </w:p>
        </w:tc>
        <w:tc>
          <w:tcPr>
            <w:tcW w:w="1800" w:type="dxa"/>
            <w:tcMar>
              <w:top w:w="85" w:type="dxa"/>
              <w:left w:w="75" w:type="dxa"/>
              <w:bottom w:w="85" w:type="dxa"/>
              <w:right w:w="75" w:type="dxa"/>
            </w:tcMar>
            <w:vAlign w:val="center"/>
          </w:tcPr>
          <w:p w14:paraId="68AEFB83" w14:textId="77777777" w:rsidR="005924CC" w:rsidRPr="00D25AED" w:rsidRDefault="00E47F95">
            <w:pPr>
              <w:spacing w:after="40" w:line="240" w:lineRule="auto"/>
              <w:rPr>
                <w:rFonts w:asciiTheme="majorHAnsi" w:hAnsiTheme="majorHAnsi" w:cstheme="majorHAnsi"/>
              </w:rPr>
            </w:pPr>
            <w:r w:rsidRPr="00D25AED">
              <w:rPr>
                <w:rFonts w:asciiTheme="majorHAnsi" w:hAnsiTheme="majorHAnsi" w:cstheme="majorHAnsi"/>
                <w:sz w:val="15"/>
              </w:rPr>
              <w:t>Validation can miss business-logic abuse and alternative encodings; SAST/DAST have blind spots; third-party parsers may be vulnerable; parameterisation does not prove correct authorisation or safe dynamic identifiers; production data flows may differ from tests.</w:t>
            </w:r>
          </w:p>
        </w:tc>
      </w:tr>
    </w:tbl>
    <w:p w14:paraId="6FCC7963" w14:textId="15DCF152" w:rsidR="005924CC" w:rsidRPr="00D25AED" w:rsidRDefault="00363622" w:rsidP="00363622">
      <w:pPr>
        <w:pStyle w:val="Heading2"/>
        <w:rPr>
          <w:rFonts w:cstheme="majorHAnsi"/>
        </w:rPr>
      </w:pPr>
      <w:r w:rsidRPr="00D25AED">
        <w:rPr>
          <w:rFonts w:cstheme="majorHAnsi"/>
        </w:rPr>
        <w:t>2.4 Why design construction and checking must work together</w:t>
      </w:r>
    </w:p>
    <w:p w14:paraId="1259B870" w14:textId="0F748F4C" w:rsidR="005924CC" w:rsidRPr="00D25AED" w:rsidRDefault="00E47F95">
      <w:pPr>
        <w:rPr>
          <w:rFonts w:asciiTheme="majorHAnsi" w:hAnsiTheme="majorHAnsi" w:cstheme="majorHAnsi"/>
        </w:rPr>
      </w:pPr>
      <w:r w:rsidRPr="00D25AED">
        <w:rPr>
          <w:rFonts w:asciiTheme="majorHAnsi" w:hAnsiTheme="majorHAnsi" w:cstheme="majorHAnsi"/>
        </w:rPr>
        <w:t xml:space="preserve">Secure design decides the security properties and architecture: trust boundaries, identity flows, access policy, data classification, failure behaviour and containment. It can prevent whole classes of weakness, but a sound design can be implemented incorrectly. Secure coding realises the design through safe APIs, defensive input handling, correct cryptography use, error handling and review. Coding discipline, </w:t>
      </w:r>
      <w:proofErr w:type="gramStart"/>
      <w:r w:rsidRPr="00D25AED">
        <w:rPr>
          <w:rFonts w:asciiTheme="majorHAnsi" w:hAnsiTheme="majorHAnsi" w:cstheme="majorHAnsi"/>
        </w:rPr>
        <w:t>however</w:t>
      </w:r>
      <w:proofErr w:type="gramEnd"/>
      <w:r w:rsidRPr="00D25AED">
        <w:rPr>
          <w:rFonts w:asciiTheme="majorHAnsi" w:hAnsiTheme="majorHAnsi" w:cstheme="majorHAnsi"/>
        </w:rPr>
        <w:t xml:space="preserve"> cannot compensate for a missing authorisation model or an over-privileged architecture.</w:t>
      </w:r>
    </w:p>
    <w:p w14:paraId="170562B4" w14:textId="08C16DCD" w:rsidR="005924CC" w:rsidRPr="00D25AED" w:rsidRDefault="00E47F95">
      <w:pPr>
        <w:rPr>
          <w:rFonts w:asciiTheme="majorHAnsi" w:hAnsiTheme="majorHAnsi" w:cstheme="majorHAnsi"/>
        </w:rPr>
      </w:pPr>
      <w:r w:rsidRPr="00D25AED">
        <w:rPr>
          <w:rFonts w:asciiTheme="majorHAnsi" w:hAnsiTheme="majorHAnsi" w:cstheme="majorHAnsi"/>
        </w:rPr>
        <w:lastRenderedPageBreak/>
        <w:t xml:space="preserve">Dependency and security checks provide another layer. Software-composition analysis can reveal known vulnerable components and licence or provenance concerns; secret scanning can detect exposed credentials; static analysis can identify some dangerous data flows; dynamic testing and penetration testing exercise running behaviour. These checks find departures from design and construction expectations, but they are </w:t>
      </w:r>
      <w:proofErr w:type="gramStart"/>
      <w:r w:rsidRPr="00D25AED">
        <w:rPr>
          <w:rFonts w:asciiTheme="majorHAnsi" w:hAnsiTheme="majorHAnsi" w:cstheme="majorHAnsi"/>
        </w:rPr>
        <w:t>bounded</w:t>
      </w:r>
      <w:proofErr w:type="gramEnd"/>
      <w:r w:rsidRPr="00D25AED">
        <w:rPr>
          <w:rFonts w:asciiTheme="majorHAnsi" w:hAnsiTheme="majorHAnsi" w:cstheme="majorHAnsi"/>
        </w:rPr>
        <w:t xml:space="preserve"> by rules, visibility, configuration and test data. The SSDF therefore treats security requirements, design review, protected development environments, code review, testing and vulnerability response as mutually reinforcing practices (</w:t>
      </w:r>
      <w:proofErr w:type="spellStart"/>
      <w:r w:rsidRPr="00D25AED">
        <w:rPr>
          <w:rFonts w:asciiTheme="majorHAnsi" w:hAnsiTheme="majorHAnsi" w:cstheme="majorHAnsi"/>
        </w:rPr>
        <w:t>Souppaya</w:t>
      </w:r>
      <w:proofErr w:type="spellEnd"/>
      <w:r w:rsidRPr="00D25AED">
        <w:rPr>
          <w:rFonts w:asciiTheme="majorHAnsi" w:hAnsiTheme="majorHAnsi" w:cstheme="majorHAnsi"/>
        </w:rPr>
        <w:t xml:space="preserve">, Scarfone </w:t>
      </w:r>
      <w:r w:rsidR="00250527" w:rsidRPr="00D25AED">
        <w:rPr>
          <w:rFonts w:asciiTheme="majorHAnsi" w:hAnsiTheme="majorHAnsi" w:cstheme="majorHAnsi"/>
        </w:rPr>
        <w:t>&amp;</w:t>
      </w:r>
      <w:r w:rsidRPr="00D25AED">
        <w:rPr>
          <w:rFonts w:asciiTheme="majorHAnsi" w:hAnsiTheme="majorHAnsi" w:cstheme="majorHAnsi"/>
        </w:rPr>
        <w:t xml:space="preserve"> Dodson, 2022). The defensible claim is not that one layer makes the system secure, but that independent layers reduce different failure modes and produce complementary evidence.</w:t>
      </w:r>
    </w:p>
    <w:p w14:paraId="44A847D7" w14:textId="4266AA1F" w:rsidR="005924CC" w:rsidRPr="00D25AED" w:rsidRDefault="00363622" w:rsidP="00363622">
      <w:pPr>
        <w:pStyle w:val="Heading2"/>
        <w:rPr>
          <w:rFonts w:cstheme="majorHAnsi"/>
        </w:rPr>
      </w:pPr>
      <w:r w:rsidRPr="00D25AED">
        <w:rPr>
          <w:rFonts w:cstheme="majorHAnsi"/>
        </w:rPr>
        <w:t>2.5 Limitations of automated tools and AI recommendations</w:t>
      </w:r>
    </w:p>
    <w:p w14:paraId="06D8E2A5" w14:textId="77777777" w:rsidR="005924CC" w:rsidRPr="00D25AED" w:rsidRDefault="00E47F95">
      <w:pPr>
        <w:rPr>
          <w:rFonts w:asciiTheme="majorHAnsi" w:hAnsiTheme="majorHAnsi" w:cstheme="majorHAnsi"/>
        </w:rPr>
      </w:pPr>
      <w:r w:rsidRPr="00D25AED">
        <w:rPr>
          <w:rFonts w:asciiTheme="majorHAnsi" w:hAnsiTheme="majorHAnsi" w:cstheme="majorHAnsi"/>
        </w:rPr>
        <w:t>Coverage and context limitations. Automated tools recognise patterns included in their rules or reachable during a scan. Static analysis may not understand runtime configuration, identity-provider behaviour, multi-service data flows or whether an access rule matches the organisation's real policy. Dynamic scanners only exercise reachable paths with supplied credentials and data. They can miss dormant endpoints, race conditions, abuse of legitimate workflows and vulnerabilities in unauthenticated-versus-privileged combinations. Conversely, conservative rules create false positives that consume review effort. Experience deploying static analysis at Google shows that developer adoption depends on useful, actionable findings and careful control of false-positive burden (Sadowski et al., 2018).</w:t>
      </w:r>
    </w:p>
    <w:p w14:paraId="497B77C2" w14:textId="77777777" w:rsidR="005924CC" w:rsidRPr="00D25AED" w:rsidRDefault="00E47F95">
      <w:pPr>
        <w:rPr>
          <w:rFonts w:asciiTheme="majorHAnsi" w:hAnsiTheme="majorHAnsi" w:cstheme="majorHAnsi"/>
        </w:rPr>
      </w:pPr>
      <w:r w:rsidRPr="00D25AED">
        <w:rPr>
          <w:rFonts w:asciiTheme="majorHAnsi" w:hAnsiTheme="majorHAnsi" w:cstheme="majorHAnsi"/>
        </w:rPr>
        <w:t>Evidence freshness and interpretation. A clean scan describes a particular code revision, dependency database, configuration, environment and tool version. It does not show that production matches the scanned target, that business requirements are correct, or that controls remain effective after configuration drift. Dependency tools also rely on incomplete identifiers and vulnerability disclosures: an unreported or unreachable vulnerability may be treated incorrectly in either direction. Findings therefore require triage, reproduction, threat context and compensating evidence rather than automatic acceptance or dismissal.</w:t>
      </w:r>
    </w:p>
    <w:p w14:paraId="20AE2093" w14:textId="77777777" w:rsidR="005924CC" w:rsidRPr="00D25AED" w:rsidRDefault="00E47F95">
      <w:pPr>
        <w:rPr>
          <w:rFonts w:asciiTheme="majorHAnsi" w:hAnsiTheme="majorHAnsi" w:cstheme="majorHAnsi"/>
        </w:rPr>
      </w:pPr>
      <w:r w:rsidRPr="00D25AED">
        <w:rPr>
          <w:rFonts w:asciiTheme="majorHAnsi" w:hAnsiTheme="majorHAnsi" w:cstheme="majorHAnsi"/>
        </w:rPr>
        <w:t xml:space="preserve">AI-specific limitations. Generated recommendations or code can sound authoritative while inventing APIs, overlooking local trust boundaries, reusing insecure patterns, or optimising for functional completion instead of abuse resistance. Pearce et al. (2022) found that GitHub Copilot could generate vulnerable code in security-relevant scenarios, which means AI output must be treated as an untrusted proposal. Prompts can also disclose sensitive architecture or code to an external service, and model </w:t>
      </w:r>
      <w:proofErr w:type="gramStart"/>
      <w:r w:rsidRPr="00D25AED">
        <w:rPr>
          <w:rFonts w:asciiTheme="majorHAnsi" w:hAnsiTheme="majorHAnsi" w:cstheme="majorHAnsi"/>
        </w:rPr>
        <w:t>outputs</w:t>
      </w:r>
      <w:proofErr w:type="gramEnd"/>
      <w:r w:rsidRPr="00D25AED">
        <w:rPr>
          <w:rFonts w:asciiTheme="majorHAnsi" w:hAnsiTheme="majorHAnsi" w:cstheme="majorHAnsi"/>
        </w:rPr>
        <w:t xml:space="preserve"> may not be reproducible as models change. Human review, authoritative standards, tests mapped to requirements and accountable approval remain necessary. AI can help brainstorm threats and tests, but it cannot own risk acceptance or certify completeness.</w:t>
      </w:r>
    </w:p>
    <w:p w14:paraId="53246BBC" w14:textId="4E6EA817" w:rsidR="005924CC" w:rsidRPr="00D25AED" w:rsidRDefault="00363622" w:rsidP="00363622">
      <w:pPr>
        <w:pStyle w:val="Heading2"/>
        <w:rPr>
          <w:rFonts w:cstheme="majorHAnsi"/>
        </w:rPr>
      </w:pPr>
      <w:r w:rsidRPr="00D25AED">
        <w:rPr>
          <w:rFonts w:cstheme="majorHAnsi"/>
        </w:rPr>
        <w:t>2.6 Critical question</w:t>
      </w:r>
    </w:p>
    <w:p w14:paraId="3745FE50" w14:textId="77777777" w:rsidR="005924CC" w:rsidRPr="00D25AED" w:rsidRDefault="00E47F95">
      <w:pPr>
        <w:rPr>
          <w:rFonts w:asciiTheme="majorHAnsi" w:hAnsiTheme="majorHAnsi" w:cstheme="majorHAnsi"/>
        </w:rPr>
      </w:pPr>
      <w:r w:rsidRPr="00D25AED">
        <w:rPr>
          <w:rFonts w:asciiTheme="majorHAnsi" w:hAnsiTheme="majorHAnsi" w:cstheme="majorHAnsi"/>
          <w:b/>
        </w:rPr>
        <w:t>If a security scanner reports no high-severity findings, what remains unproven?</w:t>
      </w:r>
    </w:p>
    <w:p w14:paraId="133A15F0" w14:textId="77777777" w:rsidR="005924CC" w:rsidRPr="00D25AED" w:rsidRDefault="00E47F95">
      <w:pPr>
        <w:rPr>
          <w:rFonts w:asciiTheme="majorHAnsi" w:hAnsiTheme="majorHAnsi" w:cstheme="majorHAnsi"/>
        </w:rPr>
      </w:pPr>
      <w:r w:rsidRPr="00D25AED">
        <w:rPr>
          <w:rFonts w:asciiTheme="majorHAnsi" w:hAnsiTheme="majorHAnsi" w:cstheme="majorHAnsi"/>
        </w:rPr>
        <w:t>A zero-high result proves only that the configured scanner did not classify a detected issue as high severity in the artefact and context it examined. It does not prove that the threat model is complete; authentication recovery resists takeover; every object and endpoint enforces the intended access policy; secrets were never exposed; business workflows cannot be abused; privacy obligations are satisfied; logs are complete and tamper-resistant; dependencies are free of unknown vulnerabilities; production configuration matches the test environment; controls withstand chained low-severity weaknesses; or incident detection and recovery will work. It also does not prove absence of false negatives. Those claims need design review, manual code review, configuration and architecture inspection, negative authorisation tests, authenticated dynamic testing, dependency and secret checks, penetration testing, operational evidence and explicit residual-risk review. A scanner result is one item of evidence, not a release decision.</w:t>
      </w:r>
    </w:p>
    <w:p w14:paraId="3668479E" w14:textId="7A31D3D5" w:rsidR="005924CC" w:rsidRPr="00D25AED" w:rsidRDefault="00363622" w:rsidP="00363622">
      <w:pPr>
        <w:pStyle w:val="Heading2"/>
        <w:rPr>
          <w:rFonts w:cstheme="majorHAnsi"/>
        </w:rPr>
      </w:pPr>
      <w:r w:rsidRPr="00D25AED">
        <w:rPr>
          <w:rFonts w:cstheme="majorHAnsi"/>
        </w:rPr>
        <w:t>2.7 Research conclusion and bridge to Milestone 3</w:t>
      </w:r>
    </w:p>
    <w:p w14:paraId="59905169" w14:textId="77777777" w:rsidR="005924CC" w:rsidRPr="00D25AED" w:rsidRDefault="00E47F95">
      <w:pPr>
        <w:rPr>
          <w:rFonts w:asciiTheme="majorHAnsi" w:hAnsiTheme="majorHAnsi" w:cstheme="majorHAnsi"/>
        </w:rPr>
      </w:pPr>
      <w:r w:rsidRPr="00D25AED">
        <w:rPr>
          <w:rFonts w:asciiTheme="majorHAnsi" w:hAnsiTheme="majorHAnsi" w:cstheme="majorHAnsi"/>
        </w:rPr>
        <w:t xml:space="preserve">Threat modelling creates value when it drives explicit, testable security requirements rather than producing a diagram that is filed away. STRIDE offers a recognised structure for examining data flows and trust boundaries, but </w:t>
      </w:r>
      <w:r w:rsidRPr="00D25AED">
        <w:rPr>
          <w:rFonts w:asciiTheme="majorHAnsi" w:hAnsiTheme="majorHAnsi" w:cstheme="majorHAnsi"/>
        </w:rPr>
        <w:lastRenderedPageBreak/>
        <w:t xml:space="preserve">analyst variability and model quality mean it should be reviewed and updated. The four example chains show the required reasoning pattern: credible misuse leads to an objective, </w:t>
      </w:r>
      <w:proofErr w:type="gramStart"/>
      <w:r w:rsidRPr="00D25AED">
        <w:rPr>
          <w:rFonts w:asciiTheme="majorHAnsi" w:hAnsiTheme="majorHAnsi" w:cstheme="majorHAnsi"/>
        </w:rPr>
        <w:t>a candidate</w:t>
      </w:r>
      <w:proofErr w:type="gramEnd"/>
      <w:r w:rsidRPr="00D25AED">
        <w:rPr>
          <w:rFonts w:asciiTheme="majorHAnsi" w:hAnsiTheme="majorHAnsi" w:cstheme="majorHAnsi"/>
        </w:rPr>
        <w:t xml:space="preserve"> control and multiple forms of evidence, followed by an honest statement of residual risk.</w:t>
      </w:r>
    </w:p>
    <w:p w14:paraId="10902142" w14:textId="7A669E3A" w:rsidR="005924CC" w:rsidRPr="00D25AED" w:rsidRDefault="00E47F95">
      <w:pPr>
        <w:rPr>
          <w:rFonts w:asciiTheme="majorHAnsi" w:hAnsiTheme="majorHAnsi" w:cstheme="majorHAnsi"/>
        </w:rPr>
      </w:pPr>
      <w:r w:rsidRPr="00D25AED">
        <w:rPr>
          <w:rFonts w:asciiTheme="majorHAnsi" w:hAnsiTheme="majorHAnsi" w:cstheme="majorHAnsi"/>
        </w:rPr>
        <w:t>Milestone 3 must still determine which threats are credible for CivicConnect, which assets and trust boundaries matter most, the assurance level required, which controls fit its actual technology and constraints, what evidence is sufficient and which residual risks can be accepted. This preserves the assignment's research-versus-project-decision boundary.</w:t>
      </w:r>
    </w:p>
    <w:p w14:paraId="04589AFA" w14:textId="77777777" w:rsidR="005924CC" w:rsidRPr="00D25AED" w:rsidRDefault="00E47F95">
      <w:pPr>
        <w:pStyle w:val="Heading1"/>
        <w:rPr>
          <w:rFonts w:cstheme="majorHAnsi"/>
        </w:rPr>
      </w:pPr>
      <w:r w:rsidRPr="00D25AED">
        <w:rPr>
          <w:rFonts w:cstheme="majorHAnsi"/>
        </w:rPr>
        <w:t>References</w:t>
      </w:r>
    </w:p>
    <w:p w14:paraId="17243E5B" w14:textId="77777777" w:rsidR="00456EE1" w:rsidRPr="00D25AED" w:rsidRDefault="00456EE1" w:rsidP="00456EE1">
      <w:pPr>
        <w:rPr>
          <w:rFonts w:asciiTheme="majorHAnsi" w:hAnsiTheme="majorHAnsi" w:cstheme="majorHAnsi"/>
          <w:sz w:val="18"/>
          <w:lang w:val="en-ZA"/>
        </w:rPr>
      </w:pPr>
      <w:proofErr w:type="spellStart"/>
      <w:r w:rsidRPr="00D25AED">
        <w:rPr>
          <w:rFonts w:asciiTheme="majorHAnsi" w:hAnsiTheme="majorHAnsi" w:cstheme="majorHAnsi"/>
          <w:sz w:val="18"/>
          <w:lang w:val="en-ZA"/>
        </w:rPr>
        <w:t>Halfond</w:t>
      </w:r>
      <w:proofErr w:type="spellEnd"/>
      <w:r w:rsidRPr="00D25AED">
        <w:rPr>
          <w:rFonts w:asciiTheme="majorHAnsi" w:hAnsiTheme="majorHAnsi" w:cstheme="majorHAnsi"/>
          <w:sz w:val="18"/>
          <w:lang w:val="en-ZA"/>
        </w:rPr>
        <w:t xml:space="preserve">, W.G.J., Viegas, J. and Orso, A. (2006) 'A classification of SQL-injection attacks and countermeasures', Proceedings of the IEEE International Symposium on Secure Software Engineering. </w:t>
      </w:r>
      <w:hyperlink r:id="rId8" w:history="1">
        <w:r w:rsidRPr="00D25AED">
          <w:rPr>
            <w:rStyle w:val="Hyperlink"/>
            <w:rFonts w:asciiTheme="majorHAnsi" w:hAnsiTheme="majorHAnsi" w:cstheme="majorHAnsi"/>
            <w:sz w:val="18"/>
            <w:lang w:val="en-ZA"/>
          </w:rPr>
          <w:t>Google Scholar</w:t>
        </w:r>
      </w:hyperlink>
    </w:p>
    <w:p w14:paraId="6478F7F5" w14:textId="77777777" w:rsidR="00456EE1" w:rsidRPr="00D25AED" w:rsidRDefault="00456EE1" w:rsidP="00456EE1">
      <w:pPr>
        <w:rPr>
          <w:rFonts w:asciiTheme="majorHAnsi" w:hAnsiTheme="majorHAnsi" w:cstheme="majorHAnsi"/>
          <w:sz w:val="18"/>
          <w:lang w:val="en-ZA"/>
        </w:rPr>
      </w:pPr>
      <w:r w:rsidRPr="00D25AED">
        <w:rPr>
          <w:rFonts w:asciiTheme="majorHAnsi" w:hAnsiTheme="majorHAnsi" w:cstheme="majorHAnsi"/>
          <w:sz w:val="18"/>
          <w:lang w:val="en-ZA"/>
        </w:rPr>
        <w:t xml:space="preserve">Meli, M., McNiece, M.R. and Reaves, B. (2019) 'How Bad Can It Git? Characterizing Secret Leakage in Public GitHub Repositories', Network and Distributed System Security Symposium. doi:10.14722/ndss.2019.23418. </w:t>
      </w:r>
      <w:hyperlink r:id="rId9" w:history="1">
        <w:r w:rsidRPr="00D25AED">
          <w:rPr>
            <w:rStyle w:val="Hyperlink"/>
            <w:rFonts w:asciiTheme="majorHAnsi" w:hAnsiTheme="majorHAnsi" w:cstheme="majorHAnsi"/>
            <w:sz w:val="18"/>
            <w:lang w:val="en-ZA"/>
          </w:rPr>
          <w:t>Google Scholar</w:t>
        </w:r>
      </w:hyperlink>
    </w:p>
    <w:p w14:paraId="0FCD6D1D" w14:textId="77777777" w:rsidR="00456EE1" w:rsidRPr="00D25AED" w:rsidRDefault="00456EE1" w:rsidP="00456EE1">
      <w:pPr>
        <w:rPr>
          <w:rFonts w:asciiTheme="majorHAnsi" w:hAnsiTheme="majorHAnsi" w:cstheme="majorHAnsi"/>
          <w:sz w:val="18"/>
          <w:lang w:val="en-ZA"/>
        </w:rPr>
      </w:pPr>
      <w:r w:rsidRPr="00D25AED">
        <w:rPr>
          <w:rFonts w:asciiTheme="majorHAnsi" w:hAnsiTheme="majorHAnsi" w:cstheme="majorHAnsi"/>
          <w:sz w:val="18"/>
          <w:lang w:val="en-ZA"/>
        </w:rPr>
        <w:t xml:space="preserve">Pearce, H., Ahmad, B., Tan, B., Dolan-Gavitt, B. and Karri, R. (2022) 'Asleep at the Keyboard? Assessing the Security of GitHub Copilot's Code Contributions', 2022 IEEE Symposium on Security and Privacy, pp. 754-768. doi:10.1109/SP46214.2022.9833571. </w:t>
      </w:r>
      <w:hyperlink r:id="rId10" w:history="1">
        <w:r w:rsidRPr="00D25AED">
          <w:rPr>
            <w:rStyle w:val="Hyperlink"/>
            <w:rFonts w:asciiTheme="majorHAnsi" w:hAnsiTheme="majorHAnsi" w:cstheme="majorHAnsi"/>
            <w:sz w:val="18"/>
            <w:lang w:val="en-ZA"/>
          </w:rPr>
          <w:t>Google Scholar</w:t>
        </w:r>
      </w:hyperlink>
    </w:p>
    <w:p w14:paraId="56DFB5B8" w14:textId="77777777" w:rsidR="00456EE1" w:rsidRPr="00D25AED" w:rsidRDefault="00456EE1" w:rsidP="00456EE1">
      <w:pPr>
        <w:rPr>
          <w:rFonts w:asciiTheme="majorHAnsi" w:hAnsiTheme="majorHAnsi" w:cstheme="majorHAnsi"/>
          <w:sz w:val="18"/>
          <w:lang w:val="en-ZA"/>
        </w:rPr>
      </w:pPr>
      <w:r w:rsidRPr="00D25AED">
        <w:rPr>
          <w:rFonts w:asciiTheme="majorHAnsi" w:hAnsiTheme="majorHAnsi" w:cstheme="majorHAnsi"/>
          <w:sz w:val="18"/>
          <w:lang w:val="en-ZA"/>
        </w:rPr>
        <w:t xml:space="preserve">Sadowski, C., Aftandilian, E., Eagle, A., Miller-Cushon, L. and Jaspan, C. (2018) 'Lessons from building static analysis tools at Google', Communications of the ACM, 61(4), pp. 58-66. doi:10.1145/3188720. </w:t>
      </w:r>
      <w:hyperlink r:id="rId11" w:history="1">
        <w:r w:rsidRPr="00D25AED">
          <w:rPr>
            <w:rStyle w:val="Hyperlink"/>
            <w:rFonts w:asciiTheme="majorHAnsi" w:hAnsiTheme="majorHAnsi" w:cstheme="majorHAnsi"/>
            <w:sz w:val="18"/>
            <w:lang w:val="en-ZA"/>
          </w:rPr>
          <w:t>Google Scholar</w:t>
        </w:r>
      </w:hyperlink>
    </w:p>
    <w:p w14:paraId="5F4B38EC" w14:textId="77777777" w:rsidR="00456EE1" w:rsidRPr="00D25AED" w:rsidRDefault="00456EE1" w:rsidP="00456EE1">
      <w:pPr>
        <w:rPr>
          <w:rFonts w:asciiTheme="majorHAnsi" w:hAnsiTheme="majorHAnsi" w:cstheme="majorHAnsi"/>
          <w:sz w:val="18"/>
          <w:lang w:val="en-ZA"/>
        </w:rPr>
      </w:pPr>
      <w:r w:rsidRPr="00D25AED">
        <w:rPr>
          <w:rFonts w:asciiTheme="majorHAnsi" w:hAnsiTheme="majorHAnsi" w:cstheme="majorHAnsi"/>
          <w:sz w:val="18"/>
          <w:lang w:val="en-ZA"/>
        </w:rPr>
        <w:t xml:space="preserve">Saltzer, J.H. and Schroeder, M.D. (1975) 'The protection of information in computer systems', Proceedings of the IEEE, 63(9), pp. 1278-1308. doi:10.1109/PROC.1975.9939. </w:t>
      </w:r>
      <w:hyperlink r:id="rId12" w:history="1">
        <w:r w:rsidRPr="00D25AED">
          <w:rPr>
            <w:rStyle w:val="Hyperlink"/>
            <w:rFonts w:asciiTheme="majorHAnsi" w:hAnsiTheme="majorHAnsi" w:cstheme="majorHAnsi"/>
            <w:sz w:val="18"/>
            <w:lang w:val="en-ZA"/>
          </w:rPr>
          <w:t>Google Scholar</w:t>
        </w:r>
      </w:hyperlink>
    </w:p>
    <w:p w14:paraId="63D390D8" w14:textId="77777777" w:rsidR="00456EE1" w:rsidRPr="00D25AED" w:rsidRDefault="00456EE1" w:rsidP="00456EE1">
      <w:pPr>
        <w:rPr>
          <w:rFonts w:asciiTheme="majorHAnsi" w:hAnsiTheme="majorHAnsi" w:cstheme="majorHAnsi"/>
          <w:sz w:val="18"/>
          <w:lang w:val="en-ZA"/>
        </w:rPr>
      </w:pPr>
      <w:r w:rsidRPr="00D25AED">
        <w:rPr>
          <w:rFonts w:asciiTheme="majorHAnsi" w:hAnsiTheme="majorHAnsi" w:cstheme="majorHAnsi"/>
          <w:sz w:val="18"/>
          <w:lang w:val="en-ZA"/>
        </w:rPr>
        <w:t xml:space="preserve">Scandariato, R., Wuyts, K. and Joosen, W. (2015) 'A descriptive study of Microsoft's threat </w:t>
      </w:r>
      <w:proofErr w:type="spellStart"/>
      <w:r w:rsidRPr="00D25AED">
        <w:rPr>
          <w:rFonts w:asciiTheme="majorHAnsi" w:hAnsiTheme="majorHAnsi" w:cstheme="majorHAnsi"/>
          <w:sz w:val="18"/>
          <w:lang w:val="en-ZA"/>
        </w:rPr>
        <w:t>modeling</w:t>
      </w:r>
      <w:proofErr w:type="spellEnd"/>
      <w:r w:rsidRPr="00D25AED">
        <w:rPr>
          <w:rFonts w:asciiTheme="majorHAnsi" w:hAnsiTheme="majorHAnsi" w:cstheme="majorHAnsi"/>
          <w:sz w:val="18"/>
          <w:lang w:val="en-ZA"/>
        </w:rPr>
        <w:t xml:space="preserve"> technique', Requirements Engineering, 20, pp. 163-180. doi:10.1007/s00766-013-0195-2. </w:t>
      </w:r>
      <w:hyperlink r:id="rId13" w:history="1">
        <w:r w:rsidRPr="00D25AED">
          <w:rPr>
            <w:rStyle w:val="Hyperlink"/>
            <w:rFonts w:asciiTheme="majorHAnsi" w:hAnsiTheme="majorHAnsi" w:cstheme="majorHAnsi"/>
            <w:sz w:val="18"/>
            <w:lang w:val="en-ZA"/>
          </w:rPr>
          <w:t>Google Scholar</w:t>
        </w:r>
      </w:hyperlink>
    </w:p>
    <w:p w14:paraId="4668A9E0" w14:textId="77777777" w:rsidR="00456EE1" w:rsidRPr="00D25AED" w:rsidRDefault="00456EE1" w:rsidP="00456EE1">
      <w:pPr>
        <w:rPr>
          <w:rFonts w:asciiTheme="majorHAnsi" w:hAnsiTheme="majorHAnsi" w:cstheme="majorHAnsi"/>
          <w:sz w:val="18"/>
          <w:lang w:val="en-ZA"/>
        </w:rPr>
      </w:pPr>
      <w:proofErr w:type="spellStart"/>
      <w:r w:rsidRPr="00D25AED">
        <w:rPr>
          <w:rFonts w:asciiTheme="majorHAnsi" w:hAnsiTheme="majorHAnsi" w:cstheme="majorHAnsi"/>
          <w:sz w:val="18"/>
          <w:lang w:val="en-ZA"/>
        </w:rPr>
        <w:t>Souppaya</w:t>
      </w:r>
      <w:proofErr w:type="spellEnd"/>
      <w:r w:rsidRPr="00D25AED">
        <w:rPr>
          <w:rFonts w:asciiTheme="majorHAnsi" w:hAnsiTheme="majorHAnsi" w:cstheme="majorHAnsi"/>
          <w:sz w:val="18"/>
          <w:lang w:val="en-ZA"/>
        </w:rPr>
        <w:t xml:space="preserve">, M., Scarfone, K. and Dodson, D. (2022) Secure Software Development Framework (SSDF) Version 1.1. NIST Special Publication 800-218. doi:10.6028/NIST.SP.800-218. </w:t>
      </w:r>
      <w:hyperlink r:id="rId14" w:history="1">
        <w:r w:rsidRPr="00D25AED">
          <w:rPr>
            <w:rStyle w:val="Hyperlink"/>
            <w:rFonts w:asciiTheme="majorHAnsi" w:hAnsiTheme="majorHAnsi" w:cstheme="majorHAnsi"/>
            <w:sz w:val="18"/>
            <w:lang w:val="en-ZA"/>
          </w:rPr>
          <w:t>Google Scholar</w:t>
        </w:r>
      </w:hyperlink>
    </w:p>
    <w:p w14:paraId="3849D66F" w14:textId="77777777" w:rsidR="00456EE1" w:rsidRPr="00D25AED" w:rsidRDefault="00456EE1" w:rsidP="00456EE1">
      <w:pPr>
        <w:rPr>
          <w:rFonts w:asciiTheme="majorHAnsi" w:hAnsiTheme="majorHAnsi" w:cstheme="majorHAnsi"/>
          <w:sz w:val="18"/>
          <w:lang w:val="en-ZA"/>
        </w:rPr>
      </w:pPr>
      <w:proofErr w:type="spellStart"/>
      <w:r w:rsidRPr="00D25AED">
        <w:rPr>
          <w:rFonts w:asciiTheme="majorHAnsi" w:hAnsiTheme="majorHAnsi" w:cstheme="majorHAnsi"/>
          <w:sz w:val="18"/>
          <w:lang w:val="en-ZA"/>
        </w:rPr>
        <w:t>Temoshok</w:t>
      </w:r>
      <w:proofErr w:type="spellEnd"/>
      <w:r w:rsidRPr="00D25AED">
        <w:rPr>
          <w:rFonts w:asciiTheme="majorHAnsi" w:hAnsiTheme="majorHAnsi" w:cstheme="majorHAnsi"/>
          <w:sz w:val="18"/>
          <w:lang w:val="en-ZA"/>
        </w:rPr>
        <w:t xml:space="preserve">, D., Fenton, J.L., Choong, Y.Y., Lefkovitz, N., Regenscheid, A., Galluzzo, R. and Richer, J. (2025) Digital Identity Guidelines: Authentication and Authenticator Management. NIST Special Publication 800-63B-4. doi:10.6028/NIST.SP.800-63B-4. </w:t>
      </w:r>
      <w:hyperlink r:id="rId15" w:history="1">
        <w:r w:rsidRPr="00D25AED">
          <w:rPr>
            <w:rStyle w:val="Hyperlink"/>
            <w:rFonts w:asciiTheme="majorHAnsi" w:hAnsiTheme="majorHAnsi" w:cstheme="majorHAnsi"/>
            <w:sz w:val="18"/>
            <w:lang w:val="en-ZA"/>
          </w:rPr>
          <w:t>Google Scholar</w:t>
        </w:r>
      </w:hyperlink>
    </w:p>
    <w:p w14:paraId="21350E8D" w14:textId="77777777" w:rsidR="005924CC" w:rsidRPr="00D25AED" w:rsidRDefault="00E47F95">
      <w:pPr>
        <w:rPr>
          <w:rFonts w:asciiTheme="majorHAnsi" w:hAnsiTheme="majorHAnsi" w:cstheme="majorHAnsi"/>
        </w:rPr>
      </w:pPr>
      <w:r w:rsidRPr="00D25AED">
        <w:rPr>
          <w:rFonts w:asciiTheme="majorHAnsi" w:hAnsiTheme="majorHAnsi" w:cstheme="majorHAnsi"/>
        </w:rPr>
        <w:br w:type="page"/>
      </w:r>
    </w:p>
    <w:p w14:paraId="2DB1540C" w14:textId="7AB34D46" w:rsidR="0067518B" w:rsidRPr="00D25AED" w:rsidRDefault="00EC788F" w:rsidP="00EC788F">
      <w:pPr>
        <w:pStyle w:val="Heading1"/>
        <w:rPr>
          <w:rFonts w:cstheme="majorHAnsi"/>
        </w:rPr>
      </w:pPr>
      <w:r w:rsidRPr="00D25AED">
        <w:rPr>
          <w:rFonts w:cstheme="majorHAnsi"/>
        </w:rPr>
        <w:lastRenderedPageBreak/>
        <w:t>AI Research &amp; Verification Record</w:t>
      </w:r>
    </w:p>
    <w:p w14:paraId="52EA8666" w14:textId="77777777" w:rsidR="00EC788F" w:rsidRPr="00D25AED" w:rsidRDefault="00EC788F">
      <w:pPr>
        <w:rPr>
          <w:rFonts w:asciiTheme="majorHAnsi" w:hAnsiTheme="majorHAnsi" w:cstheme="majorHAnsi"/>
        </w:rPr>
      </w:pPr>
    </w:p>
    <w:tbl>
      <w:tblPr>
        <w:tblW w:w="0" w:type="auto"/>
        <w:jc w:val="center"/>
        <w:tblLayout w:type="fixed"/>
        <w:tblLook w:val="04A0" w:firstRow="1" w:lastRow="0" w:firstColumn="1" w:lastColumn="0" w:noHBand="0" w:noVBand="1"/>
      </w:tblPr>
      <w:tblGrid>
        <w:gridCol w:w="1152"/>
        <w:gridCol w:w="1656"/>
        <w:gridCol w:w="1584"/>
        <w:gridCol w:w="1152"/>
        <w:gridCol w:w="2520"/>
        <w:gridCol w:w="2520"/>
      </w:tblGrid>
      <w:tr w:rsidR="00EC788F" w:rsidRPr="00D25AED" w14:paraId="256CFC7B" w14:textId="77777777" w:rsidTr="00325D90">
        <w:trPr>
          <w:tblHeade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1F497D" w:themeFill="text2"/>
            <w:tcMar>
              <w:top w:w="90" w:type="dxa"/>
              <w:left w:w="70" w:type="dxa"/>
              <w:bottom w:w="90" w:type="dxa"/>
              <w:right w:w="70" w:type="dxa"/>
            </w:tcMar>
          </w:tcPr>
          <w:p w14:paraId="39AE6D51" w14:textId="77777777" w:rsidR="00EC788F" w:rsidRPr="00D25AED" w:rsidRDefault="00EC788F" w:rsidP="00325D90">
            <w:pPr>
              <w:jc w:val="center"/>
              <w:rPr>
                <w:rFonts w:asciiTheme="majorHAnsi" w:hAnsiTheme="majorHAnsi" w:cstheme="majorHAnsi"/>
              </w:rPr>
            </w:pPr>
            <w:r w:rsidRPr="00D25AED">
              <w:rPr>
                <w:rFonts w:asciiTheme="majorHAnsi" w:hAnsiTheme="majorHAnsi" w:cstheme="majorHAnsi"/>
                <w:b/>
                <w:color w:val="FFFFFF"/>
                <w:sz w:val="15"/>
              </w:rPr>
              <w:t>Team member</w:t>
            </w:r>
          </w:p>
        </w:tc>
        <w:tc>
          <w:tcPr>
            <w:tcW w:w="1656" w:type="dxa"/>
            <w:tcBorders>
              <w:top w:val="single" w:sz="6" w:space="0" w:color="D9D9D9"/>
              <w:left w:val="single" w:sz="6" w:space="0" w:color="D9D9D9"/>
              <w:bottom w:val="single" w:sz="6" w:space="0" w:color="D9D9D9"/>
              <w:right w:val="single" w:sz="6" w:space="0" w:color="D9D9D9"/>
            </w:tcBorders>
            <w:shd w:val="clear" w:color="auto" w:fill="1F497D" w:themeFill="text2"/>
            <w:tcMar>
              <w:top w:w="90" w:type="dxa"/>
              <w:left w:w="70" w:type="dxa"/>
              <w:bottom w:w="90" w:type="dxa"/>
              <w:right w:w="70" w:type="dxa"/>
            </w:tcMar>
          </w:tcPr>
          <w:p w14:paraId="73A48507" w14:textId="77777777" w:rsidR="00EC788F" w:rsidRPr="00D25AED" w:rsidRDefault="00EC788F" w:rsidP="00325D90">
            <w:pPr>
              <w:jc w:val="center"/>
              <w:rPr>
                <w:rFonts w:asciiTheme="majorHAnsi" w:hAnsiTheme="majorHAnsi" w:cstheme="majorHAnsi"/>
              </w:rPr>
            </w:pPr>
            <w:r w:rsidRPr="00D25AED">
              <w:rPr>
                <w:rFonts w:asciiTheme="majorHAnsi" w:hAnsiTheme="majorHAnsi" w:cstheme="majorHAnsi"/>
                <w:b/>
                <w:color w:val="FFFFFF"/>
                <w:sz w:val="15"/>
              </w:rPr>
              <w:t>AI tool and use</w:t>
            </w:r>
          </w:p>
        </w:tc>
        <w:tc>
          <w:tcPr>
            <w:tcW w:w="1584" w:type="dxa"/>
            <w:tcBorders>
              <w:top w:val="single" w:sz="6" w:space="0" w:color="D9D9D9"/>
              <w:left w:val="single" w:sz="6" w:space="0" w:color="D9D9D9"/>
              <w:bottom w:val="single" w:sz="6" w:space="0" w:color="D9D9D9"/>
              <w:right w:val="single" w:sz="6" w:space="0" w:color="D9D9D9"/>
            </w:tcBorders>
            <w:shd w:val="clear" w:color="auto" w:fill="1F497D" w:themeFill="text2"/>
            <w:tcMar>
              <w:top w:w="90" w:type="dxa"/>
              <w:left w:w="70" w:type="dxa"/>
              <w:bottom w:w="90" w:type="dxa"/>
              <w:right w:w="70" w:type="dxa"/>
            </w:tcMar>
          </w:tcPr>
          <w:p w14:paraId="09905E20" w14:textId="77777777" w:rsidR="00EC788F" w:rsidRPr="00D25AED" w:rsidRDefault="00EC788F" w:rsidP="00325D90">
            <w:pPr>
              <w:jc w:val="center"/>
              <w:rPr>
                <w:rFonts w:asciiTheme="majorHAnsi" w:hAnsiTheme="majorHAnsi" w:cstheme="majorHAnsi"/>
              </w:rPr>
            </w:pPr>
            <w:r w:rsidRPr="00D25AED">
              <w:rPr>
                <w:rFonts w:asciiTheme="majorHAnsi" w:hAnsiTheme="majorHAnsi" w:cstheme="majorHAnsi"/>
                <w:b/>
                <w:color w:val="FFFFFF"/>
                <w:sz w:val="15"/>
              </w:rPr>
              <w:t>Purpose</w:t>
            </w:r>
          </w:p>
        </w:tc>
        <w:tc>
          <w:tcPr>
            <w:tcW w:w="1152" w:type="dxa"/>
            <w:tcBorders>
              <w:top w:val="single" w:sz="6" w:space="0" w:color="D9D9D9"/>
              <w:left w:val="single" w:sz="6" w:space="0" w:color="D9D9D9"/>
              <w:bottom w:val="single" w:sz="6" w:space="0" w:color="D9D9D9"/>
              <w:right w:val="single" w:sz="6" w:space="0" w:color="D9D9D9"/>
            </w:tcBorders>
            <w:shd w:val="clear" w:color="auto" w:fill="1F497D" w:themeFill="text2"/>
            <w:tcMar>
              <w:top w:w="90" w:type="dxa"/>
              <w:left w:w="70" w:type="dxa"/>
              <w:bottom w:w="90" w:type="dxa"/>
              <w:right w:w="70" w:type="dxa"/>
            </w:tcMar>
          </w:tcPr>
          <w:p w14:paraId="0277996A" w14:textId="77777777" w:rsidR="00EC788F" w:rsidRPr="00D25AED" w:rsidRDefault="00EC788F" w:rsidP="00325D90">
            <w:pPr>
              <w:jc w:val="center"/>
              <w:rPr>
                <w:rFonts w:asciiTheme="majorHAnsi" w:hAnsiTheme="majorHAnsi" w:cstheme="majorHAnsi"/>
              </w:rPr>
            </w:pPr>
            <w:r w:rsidRPr="00D25AED">
              <w:rPr>
                <w:rFonts w:asciiTheme="majorHAnsi" w:hAnsiTheme="majorHAnsi" w:cstheme="majorHAnsi"/>
                <w:b/>
                <w:color w:val="FFFFFF"/>
                <w:sz w:val="15"/>
              </w:rPr>
              <w:t>Output used</w:t>
            </w:r>
          </w:p>
        </w:tc>
        <w:tc>
          <w:tcPr>
            <w:tcW w:w="2520" w:type="dxa"/>
            <w:tcBorders>
              <w:top w:val="single" w:sz="6" w:space="0" w:color="D9D9D9"/>
              <w:left w:val="single" w:sz="6" w:space="0" w:color="D9D9D9"/>
              <w:bottom w:val="single" w:sz="6" w:space="0" w:color="D9D9D9"/>
              <w:right w:val="single" w:sz="6" w:space="0" w:color="D9D9D9"/>
            </w:tcBorders>
            <w:shd w:val="clear" w:color="auto" w:fill="1F497D" w:themeFill="text2"/>
            <w:tcMar>
              <w:top w:w="90" w:type="dxa"/>
              <w:left w:w="70" w:type="dxa"/>
              <w:bottom w:w="90" w:type="dxa"/>
              <w:right w:w="70" w:type="dxa"/>
            </w:tcMar>
          </w:tcPr>
          <w:p w14:paraId="41453C4B" w14:textId="77777777" w:rsidR="00EC788F" w:rsidRPr="00D25AED" w:rsidRDefault="00EC788F" w:rsidP="00325D90">
            <w:pPr>
              <w:jc w:val="center"/>
              <w:rPr>
                <w:rFonts w:asciiTheme="majorHAnsi" w:hAnsiTheme="majorHAnsi" w:cstheme="majorHAnsi"/>
              </w:rPr>
            </w:pPr>
            <w:r w:rsidRPr="00D25AED">
              <w:rPr>
                <w:rFonts w:asciiTheme="majorHAnsi" w:hAnsiTheme="majorHAnsi" w:cstheme="majorHAnsi"/>
                <w:b/>
                <w:color w:val="FFFFFF"/>
                <w:sz w:val="15"/>
              </w:rPr>
              <w:t>How independently verified</w:t>
            </w:r>
          </w:p>
        </w:tc>
        <w:tc>
          <w:tcPr>
            <w:tcW w:w="2520" w:type="dxa"/>
            <w:tcBorders>
              <w:top w:val="single" w:sz="6" w:space="0" w:color="D9D9D9"/>
              <w:left w:val="single" w:sz="6" w:space="0" w:color="D9D9D9"/>
              <w:bottom w:val="single" w:sz="6" w:space="0" w:color="D9D9D9"/>
              <w:right w:val="single" w:sz="6" w:space="0" w:color="D9D9D9"/>
            </w:tcBorders>
            <w:shd w:val="clear" w:color="auto" w:fill="1F497D" w:themeFill="text2"/>
            <w:tcMar>
              <w:top w:w="90" w:type="dxa"/>
              <w:left w:w="70" w:type="dxa"/>
              <w:bottom w:w="90" w:type="dxa"/>
              <w:right w:w="70" w:type="dxa"/>
            </w:tcMar>
          </w:tcPr>
          <w:p w14:paraId="1826D959" w14:textId="77777777" w:rsidR="00EC788F" w:rsidRPr="00D25AED" w:rsidRDefault="00EC788F" w:rsidP="00325D90">
            <w:pPr>
              <w:jc w:val="center"/>
              <w:rPr>
                <w:rFonts w:asciiTheme="majorHAnsi" w:hAnsiTheme="majorHAnsi" w:cstheme="majorHAnsi"/>
              </w:rPr>
            </w:pPr>
            <w:r w:rsidRPr="00D25AED">
              <w:rPr>
                <w:rFonts w:asciiTheme="majorHAnsi" w:hAnsiTheme="majorHAnsi" w:cstheme="majorHAnsi"/>
                <w:b/>
                <w:color w:val="FFFFFF"/>
                <w:sz w:val="15"/>
              </w:rPr>
              <w:t>What was changed or rejected</w:t>
            </w:r>
          </w:p>
        </w:tc>
      </w:tr>
      <w:tr w:rsidR="00EC788F" w:rsidRPr="00D25AED" w14:paraId="2F5FD303" w14:textId="77777777" w:rsidTr="00325D90">
        <w:trPr>
          <w:cantSplit/>
          <w:jc w:val="center"/>
        </w:trPr>
        <w:tc>
          <w:tcPr>
            <w:tcW w:w="1152" w:type="dxa"/>
            <w:tcBorders>
              <w:top w:val="single" w:sz="6" w:space="0" w:color="D9D9D9"/>
              <w:left w:val="single" w:sz="6" w:space="0" w:color="D9D9D9"/>
              <w:bottom w:val="single" w:sz="6" w:space="0" w:color="D9D9D9"/>
              <w:right w:val="single" w:sz="6" w:space="0" w:color="D9D9D9"/>
            </w:tcBorders>
            <w:tcMar>
              <w:top w:w="80" w:type="dxa"/>
              <w:left w:w="65" w:type="dxa"/>
              <w:bottom w:w="80" w:type="dxa"/>
              <w:right w:w="65" w:type="dxa"/>
            </w:tcMar>
            <w:vAlign w:val="center"/>
          </w:tcPr>
          <w:p w14:paraId="611EC9A8" w14:textId="77777777" w:rsidR="00EC788F" w:rsidRPr="00D25AED" w:rsidRDefault="00EC788F" w:rsidP="00325D90">
            <w:pPr>
              <w:spacing w:after="20" w:line="240" w:lineRule="auto"/>
              <w:rPr>
                <w:rFonts w:asciiTheme="majorHAnsi" w:hAnsiTheme="majorHAnsi" w:cstheme="majorHAnsi"/>
              </w:rPr>
            </w:pPr>
            <w:r w:rsidRPr="00D25AED">
              <w:rPr>
                <w:rFonts w:asciiTheme="majorHAnsi" w:hAnsiTheme="majorHAnsi" w:cstheme="majorHAnsi"/>
                <w:sz w:val="14"/>
              </w:rPr>
              <w:t>Tammy Fourie</w:t>
            </w:r>
          </w:p>
        </w:tc>
        <w:tc>
          <w:tcPr>
            <w:tcW w:w="1656" w:type="dxa"/>
            <w:tcBorders>
              <w:top w:val="single" w:sz="6" w:space="0" w:color="D9D9D9"/>
              <w:left w:val="single" w:sz="6" w:space="0" w:color="D9D9D9"/>
              <w:bottom w:val="single" w:sz="6" w:space="0" w:color="D9D9D9"/>
              <w:right w:val="single" w:sz="6" w:space="0" w:color="D9D9D9"/>
            </w:tcBorders>
            <w:tcMar>
              <w:top w:w="80" w:type="dxa"/>
              <w:left w:w="65" w:type="dxa"/>
              <w:bottom w:w="80" w:type="dxa"/>
              <w:right w:w="65" w:type="dxa"/>
            </w:tcMar>
            <w:vAlign w:val="center"/>
          </w:tcPr>
          <w:p w14:paraId="752B1D1A" w14:textId="77777777" w:rsidR="00EC788F" w:rsidRPr="00D25AED" w:rsidRDefault="00EC788F" w:rsidP="00325D90">
            <w:pPr>
              <w:spacing w:after="20" w:line="240" w:lineRule="auto"/>
              <w:rPr>
                <w:rFonts w:asciiTheme="majorHAnsi" w:hAnsiTheme="majorHAnsi" w:cstheme="majorHAnsi"/>
              </w:rPr>
            </w:pPr>
            <w:r w:rsidRPr="00D25AED">
              <w:rPr>
                <w:rFonts w:asciiTheme="majorHAnsi" w:hAnsiTheme="majorHAnsi" w:cstheme="majorHAnsi"/>
                <w:sz w:val="14"/>
              </w:rPr>
              <w:t>ChatGPT Work / research drafting support</w:t>
            </w:r>
          </w:p>
        </w:tc>
        <w:tc>
          <w:tcPr>
            <w:tcW w:w="1584" w:type="dxa"/>
            <w:tcBorders>
              <w:top w:val="single" w:sz="6" w:space="0" w:color="D9D9D9"/>
              <w:left w:val="single" w:sz="6" w:space="0" w:color="D9D9D9"/>
              <w:bottom w:val="single" w:sz="6" w:space="0" w:color="D9D9D9"/>
              <w:right w:val="single" w:sz="6" w:space="0" w:color="D9D9D9"/>
            </w:tcBorders>
            <w:tcMar>
              <w:top w:w="80" w:type="dxa"/>
              <w:left w:w="65" w:type="dxa"/>
              <w:bottom w:w="80" w:type="dxa"/>
              <w:right w:w="65" w:type="dxa"/>
            </w:tcMar>
            <w:vAlign w:val="center"/>
          </w:tcPr>
          <w:p w14:paraId="12085DF1" w14:textId="77777777" w:rsidR="00EC788F" w:rsidRPr="00D25AED" w:rsidRDefault="00EC788F" w:rsidP="00325D90">
            <w:pPr>
              <w:spacing w:after="20" w:line="240" w:lineRule="auto"/>
              <w:rPr>
                <w:rFonts w:asciiTheme="majorHAnsi" w:hAnsiTheme="majorHAnsi" w:cstheme="majorHAnsi"/>
              </w:rPr>
            </w:pPr>
            <w:r w:rsidRPr="00D25AED">
              <w:rPr>
                <w:rFonts w:asciiTheme="majorHAnsi" w:hAnsiTheme="majorHAnsi" w:cstheme="majorHAnsi"/>
                <w:sz w:val="14"/>
              </w:rPr>
              <w:t>Structure Q2, propose threat-control chains, identify candidate sources and draft prose.</w:t>
            </w:r>
          </w:p>
        </w:tc>
        <w:tc>
          <w:tcPr>
            <w:tcW w:w="1152" w:type="dxa"/>
            <w:tcBorders>
              <w:top w:val="single" w:sz="6" w:space="0" w:color="D9D9D9"/>
              <w:left w:val="single" w:sz="6" w:space="0" w:color="D9D9D9"/>
              <w:bottom w:val="single" w:sz="6" w:space="0" w:color="D9D9D9"/>
              <w:right w:val="single" w:sz="6" w:space="0" w:color="D9D9D9"/>
            </w:tcBorders>
            <w:tcMar>
              <w:top w:w="80" w:type="dxa"/>
              <w:left w:w="65" w:type="dxa"/>
              <w:bottom w:w="80" w:type="dxa"/>
              <w:right w:w="65" w:type="dxa"/>
            </w:tcMar>
            <w:vAlign w:val="center"/>
          </w:tcPr>
          <w:p w14:paraId="6608A4D0" w14:textId="77777777" w:rsidR="00EC788F" w:rsidRPr="00D25AED" w:rsidRDefault="00EC788F" w:rsidP="00325D90">
            <w:pPr>
              <w:spacing w:after="20" w:line="240" w:lineRule="auto"/>
              <w:rPr>
                <w:rFonts w:asciiTheme="majorHAnsi" w:hAnsiTheme="majorHAnsi" w:cstheme="majorHAnsi"/>
              </w:rPr>
            </w:pPr>
            <w:r w:rsidRPr="00D25AED">
              <w:rPr>
                <w:rFonts w:asciiTheme="majorHAnsi" w:hAnsiTheme="majorHAnsi" w:cstheme="majorHAnsi"/>
                <w:sz w:val="14"/>
              </w:rPr>
              <w:t>Yes, after review</w:t>
            </w:r>
          </w:p>
        </w:tc>
        <w:tc>
          <w:tcPr>
            <w:tcW w:w="2520" w:type="dxa"/>
            <w:tcBorders>
              <w:top w:val="single" w:sz="6" w:space="0" w:color="D9D9D9"/>
              <w:left w:val="single" w:sz="6" w:space="0" w:color="D9D9D9"/>
              <w:bottom w:val="single" w:sz="6" w:space="0" w:color="D9D9D9"/>
              <w:right w:val="single" w:sz="6" w:space="0" w:color="D9D9D9"/>
            </w:tcBorders>
            <w:tcMar>
              <w:top w:w="80" w:type="dxa"/>
              <w:left w:w="65" w:type="dxa"/>
              <w:bottom w:w="80" w:type="dxa"/>
              <w:right w:w="65" w:type="dxa"/>
            </w:tcMar>
            <w:vAlign w:val="center"/>
          </w:tcPr>
          <w:p w14:paraId="74A7BD97" w14:textId="77777777" w:rsidR="00EC788F" w:rsidRPr="00D25AED" w:rsidRDefault="00EC788F" w:rsidP="00325D90">
            <w:pPr>
              <w:spacing w:after="20" w:line="240" w:lineRule="auto"/>
              <w:rPr>
                <w:rFonts w:asciiTheme="majorHAnsi" w:hAnsiTheme="majorHAnsi" w:cstheme="majorHAnsi"/>
              </w:rPr>
            </w:pPr>
            <w:r w:rsidRPr="00D25AED">
              <w:rPr>
                <w:rFonts w:asciiTheme="majorHAnsi" w:hAnsiTheme="majorHAnsi" w:cstheme="majorHAnsi"/>
                <w:sz w:val="14"/>
              </w:rPr>
              <w:t>Checked the assignment rubric; opened the cited standards and publisher/conference records; located each reference through its Google Scholar link; compared technical claims with the cited source.</w:t>
            </w:r>
          </w:p>
        </w:tc>
        <w:tc>
          <w:tcPr>
            <w:tcW w:w="2520" w:type="dxa"/>
            <w:tcBorders>
              <w:top w:val="single" w:sz="6" w:space="0" w:color="D9D9D9"/>
              <w:left w:val="single" w:sz="6" w:space="0" w:color="D9D9D9"/>
              <w:bottom w:val="single" w:sz="6" w:space="0" w:color="D9D9D9"/>
              <w:right w:val="single" w:sz="6" w:space="0" w:color="D9D9D9"/>
            </w:tcBorders>
            <w:tcMar>
              <w:top w:w="80" w:type="dxa"/>
              <w:left w:w="65" w:type="dxa"/>
              <w:bottom w:w="80" w:type="dxa"/>
              <w:right w:w="65" w:type="dxa"/>
            </w:tcMar>
            <w:vAlign w:val="center"/>
          </w:tcPr>
          <w:p w14:paraId="622137A0" w14:textId="77777777" w:rsidR="00EC788F" w:rsidRPr="00D25AED" w:rsidRDefault="00EC788F" w:rsidP="00325D90">
            <w:pPr>
              <w:spacing w:after="20" w:line="240" w:lineRule="auto"/>
              <w:rPr>
                <w:rFonts w:asciiTheme="majorHAnsi" w:hAnsiTheme="majorHAnsi" w:cstheme="majorHAnsi"/>
              </w:rPr>
            </w:pPr>
            <w:r w:rsidRPr="00D25AED">
              <w:rPr>
                <w:rFonts w:asciiTheme="majorHAnsi" w:hAnsiTheme="majorHAnsi" w:cstheme="majorHAnsi"/>
                <w:sz w:val="14"/>
              </w:rPr>
              <w:t>Rephrased for the team voice; removed unsupported universal claims; retained residual-risk qualifications; verify all project-specific statements before submission.</w:t>
            </w:r>
          </w:p>
        </w:tc>
      </w:tr>
    </w:tbl>
    <w:p w14:paraId="5A5994CD" w14:textId="77777777" w:rsidR="00EC788F" w:rsidRPr="00D25AED" w:rsidRDefault="00EC788F">
      <w:pPr>
        <w:rPr>
          <w:rFonts w:asciiTheme="majorHAnsi" w:hAnsiTheme="majorHAnsi" w:cstheme="majorHAnsi"/>
        </w:rPr>
      </w:pPr>
    </w:p>
    <w:sectPr w:rsidR="00EC788F" w:rsidRPr="00D25AED" w:rsidSect="00034616">
      <w:pgSz w:w="12240" w:h="15840"/>
      <w:pgMar w:top="1037" w:right="1123" w:bottom="979"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694B1" w14:textId="77777777" w:rsidR="00885059" w:rsidRDefault="00885059">
      <w:pPr>
        <w:spacing w:after="0" w:line="240" w:lineRule="auto"/>
      </w:pPr>
      <w:r>
        <w:separator/>
      </w:r>
    </w:p>
  </w:endnote>
  <w:endnote w:type="continuationSeparator" w:id="0">
    <w:p w14:paraId="29A26FFF" w14:textId="77777777" w:rsidR="00885059" w:rsidRDefault="008850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92948" w14:textId="77777777" w:rsidR="00885059" w:rsidRDefault="00885059">
      <w:pPr>
        <w:spacing w:after="0" w:line="240" w:lineRule="auto"/>
      </w:pPr>
      <w:r>
        <w:separator/>
      </w:r>
    </w:p>
  </w:footnote>
  <w:footnote w:type="continuationSeparator" w:id="0">
    <w:p w14:paraId="52DFF0C5" w14:textId="77777777" w:rsidR="00885059" w:rsidRDefault="008850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090680">
    <w:abstractNumId w:val="8"/>
  </w:num>
  <w:num w:numId="2" w16cid:durableId="1337224567">
    <w:abstractNumId w:val="6"/>
  </w:num>
  <w:num w:numId="3" w16cid:durableId="2073771142">
    <w:abstractNumId w:val="5"/>
  </w:num>
  <w:num w:numId="4" w16cid:durableId="517087771">
    <w:abstractNumId w:val="4"/>
  </w:num>
  <w:num w:numId="5" w16cid:durableId="1395742841">
    <w:abstractNumId w:val="7"/>
  </w:num>
  <w:num w:numId="6" w16cid:durableId="854658131">
    <w:abstractNumId w:val="3"/>
  </w:num>
  <w:num w:numId="7" w16cid:durableId="1075013075">
    <w:abstractNumId w:val="2"/>
  </w:num>
  <w:num w:numId="8" w16cid:durableId="1811359900">
    <w:abstractNumId w:val="1"/>
  </w:num>
  <w:num w:numId="9" w16cid:durableId="96995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BCE"/>
    <w:rsid w:val="00034616"/>
    <w:rsid w:val="0006063C"/>
    <w:rsid w:val="0007305F"/>
    <w:rsid w:val="0015074B"/>
    <w:rsid w:val="00250527"/>
    <w:rsid w:val="0029639D"/>
    <w:rsid w:val="002D426D"/>
    <w:rsid w:val="00326F90"/>
    <w:rsid w:val="003546BC"/>
    <w:rsid w:val="00363622"/>
    <w:rsid w:val="00456EE1"/>
    <w:rsid w:val="004C12EA"/>
    <w:rsid w:val="005924CC"/>
    <w:rsid w:val="0067518B"/>
    <w:rsid w:val="007007FC"/>
    <w:rsid w:val="00885059"/>
    <w:rsid w:val="008E030C"/>
    <w:rsid w:val="00AA1D8D"/>
    <w:rsid w:val="00B47730"/>
    <w:rsid w:val="00CB0664"/>
    <w:rsid w:val="00CE6300"/>
    <w:rsid w:val="00D25AED"/>
    <w:rsid w:val="00E1315A"/>
    <w:rsid w:val="00E47F95"/>
    <w:rsid w:val="00EC788F"/>
    <w:rsid w:val="00F707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8F5492"/>
  <w14:defaultImageDpi w14:val="300"/>
  <w15:docId w15:val="{4CA46DA4-5C24-4EDF-A04F-0B7EAB09A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80"/>
      <w:ind w:left="403" w:hanging="403"/>
    </w:pPr>
    <w:rPr>
      <w:rFonts w:ascii="Aptos" w:hAnsi="Aptos"/>
      <w:sz w:val="18"/>
    </w:rPr>
  </w:style>
  <w:style w:type="character" w:styleId="Hyperlink">
    <w:name w:val="Hyperlink"/>
    <w:basedOn w:val="DefaultParagraphFont"/>
    <w:uiPriority w:val="99"/>
    <w:unhideWhenUsed/>
    <w:rsid w:val="00456EE1"/>
    <w:rPr>
      <w:color w:val="0000FF" w:themeColor="hyperlink"/>
      <w:u w:val="single"/>
    </w:rPr>
  </w:style>
  <w:style w:type="character" w:styleId="UnresolvedMention">
    <w:name w:val="Unresolved Mention"/>
    <w:basedOn w:val="DefaultParagraphFont"/>
    <w:uiPriority w:val="99"/>
    <w:semiHidden/>
    <w:unhideWhenUsed/>
    <w:rsid w:val="00456EE1"/>
    <w:rPr>
      <w:color w:val="605E5C"/>
      <w:shd w:val="clear" w:color="auto" w:fill="E1DFDD"/>
    </w:rPr>
  </w:style>
  <w:style w:type="character" w:styleId="FollowedHyperlink">
    <w:name w:val="FollowedHyperlink"/>
    <w:basedOn w:val="DefaultParagraphFont"/>
    <w:uiPriority w:val="99"/>
    <w:semiHidden/>
    <w:unhideWhenUsed/>
    <w:rsid w:val="00456EE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google.com/scholar?q=A+classification+of+SQL-injection+attacks+and+countermeasures" TargetMode="External"/><Relationship Id="rId13" Type="http://schemas.openxmlformats.org/officeDocument/2006/relationships/hyperlink" Target="https://scholar.google.com/scholar?q=A+descriptive+study+of+Microsoft%27s+threat+modeling+techniqu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cholar.google.com/scholar?q=The+protection+of+information+in+computer+systems+Saltzer+Schroede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holar.google.com/scholar?q=Lessons+from+building+static+analysis+tools+at+Google" TargetMode="External"/><Relationship Id="rId5" Type="http://schemas.openxmlformats.org/officeDocument/2006/relationships/webSettings" Target="webSettings.xml"/><Relationship Id="rId15" Type="http://schemas.openxmlformats.org/officeDocument/2006/relationships/hyperlink" Target="https://scholar.google.com/scholar?q=NIST+SP+800-63B-4+Authentication+Authenticator+Management" TargetMode="External"/><Relationship Id="rId10" Type="http://schemas.openxmlformats.org/officeDocument/2006/relationships/hyperlink" Target="https://scholar.google.com/scholar?q=Asleep+at+the+Keyboard+Assessing+the+Security+of+GitHub+Copilot%27s+Code+Contributions" TargetMode="External"/><Relationship Id="rId4" Type="http://schemas.openxmlformats.org/officeDocument/2006/relationships/settings" Target="settings.xml"/><Relationship Id="rId9" Type="http://schemas.openxmlformats.org/officeDocument/2006/relationships/hyperlink" Target="https://scholar.google.com/scholar?q=How+Bad+Can+It+Git+Characterizing+Secret+Leakage+in+Public+GitHub+Repositories" TargetMode="External"/><Relationship Id="rId14" Type="http://schemas.openxmlformats.org/officeDocument/2006/relationships/hyperlink" Target="https://scholar.google.com/scholar?q=NIST+SP+800-218+Secure+Software+Development+Frame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2706</Words>
  <Characters>15427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Question 2 Security Engineering and Threat Based Controls</vt:lpstr>
    </vt:vector>
  </TitlesOfParts>
  <Manager/>
  <Company/>
  <LinksUpToDate>false</LinksUpToDate>
  <CharactersWithSpaces>18097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 2 Security Engineering and Threat Based Controls</dc:title>
  <dc:subject>SEN381 Assignment 3 research brief section</dc:subject>
  <dc:creator>Student team</dc:creator>
  <cp:keywords/>
  <dc:description>generated by python-docx</dc:description>
  <cp:lastModifiedBy>Benno Weideman</cp:lastModifiedBy>
  <cp:revision>5</cp:revision>
  <dcterms:created xsi:type="dcterms:W3CDTF">2026-09-22T13:46:00Z</dcterms:created>
  <dcterms:modified xsi:type="dcterms:W3CDTF">2026-09-27T18:28:00Z</dcterms:modified>
  <cp:category/>
</cp:coreProperties>
</file>