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9A033" w14:textId="77777777" w:rsidR="00D25AED" w:rsidRPr="00D25AED" w:rsidRDefault="00D25AED" w:rsidP="00D25AED">
      <w:pPr>
        <w:pStyle w:val="Heading1"/>
        <w:rPr>
          <w:rFonts w:cstheme="majorHAnsi"/>
        </w:rPr>
      </w:pPr>
      <w:r w:rsidRPr="00D25AED">
        <w:rPr>
          <w:rFonts w:cstheme="majorHAnsi"/>
        </w:rPr>
        <w:t>Abbreviations</w:t>
      </w:r>
    </w:p>
    <w:tbl>
      <w:tblPr>
        <w:tblStyle w:val="TableGrid"/>
        <w:tblW w:w="0" w:type="auto"/>
        <w:tblLook w:val="04A0" w:firstRow="1" w:lastRow="0" w:firstColumn="1" w:lastColumn="0" w:noHBand="0" w:noVBand="1"/>
      </w:tblPr>
      <w:tblGrid>
        <w:gridCol w:w="5105"/>
        <w:gridCol w:w="5105"/>
      </w:tblGrid>
      <w:tr w:rsidR="00D25AED" w:rsidRPr="00D25AED" w14:paraId="32F43995" w14:textId="77777777" w:rsidTr="00D25AED">
        <w:tc>
          <w:tcPr>
            <w:tcW w:w="5105" w:type="dxa"/>
          </w:tcPr>
          <w:p w14:paraId="5DD7FB14" w14:textId="4481A198"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API</w:t>
            </w:r>
          </w:p>
        </w:tc>
        <w:tc>
          <w:tcPr>
            <w:tcW w:w="5105" w:type="dxa"/>
          </w:tcPr>
          <w:p w14:paraId="41C80F00" w14:textId="3AC1F0C5"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Application Programming Interface =</w:t>
            </w:r>
          </w:p>
        </w:tc>
      </w:tr>
      <w:tr w:rsidR="00D25AED" w:rsidRPr="00D25AED" w14:paraId="4A932FB0" w14:textId="77777777" w:rsidTr="00D25AED">
        <w:tc>
          <w:tcPr>
            <w:tcW w:w="5105" w:type="dxa"/>
          </w:tcPr>
          <w:p w14:paraId="5E51E703" w14:textId="5F87C03B"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CI</w:t>
            </w:r>
          </w:p>
        </w:tc>
        <w:tc>
          <w:tcPr>
            <w:tcW w:w="5105" w:type="dxa"/>
          </w:tcPr>
          <w:p w14:paraId="07184EC9" w14:textId="147E97C4"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Continuous Integration</w:t>
            </w:r>
          </w:p>
        </w:tc>
      </w:tr>
      <w:tr w:rsidR="00D25AED" w:rsidRPr="00D25AED" w14:paraId="53FB518C" w14:textId="77777777" w:rsidTr="00D25AED">
        <w:tc>
          <w:tcPr>
            <w:tcW w:w="5105" w:type="dxa"/>
          </w:tcPr>
          <w:p w14:paraId="0B995566" w14:textId="3E15194A"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DAST</w:t>
            </w:r>
          </w:p>
        </w:tc>
        <w:tc>
          <w:tcPr>
            <w:tcW w:w="5105" w:type="dxa"/>
          </w:tcPr>
          <w:p w14:paraId="146DD118" w14:textId="3677D20D"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Dynamic Application Security Testing</w:t>
            </w:r>
          </w:p>
        </w:tc>
      </w:tr>
      <w:tr w:rsidR="00D25AED" w:rsidRPr="00D25AED" w14:paraId="6ADC3BA0" w14:textId="77777777" w:rsidTr="00D25AED">
        <w:tc>
          <w:tcPr>
            <w:tcW w:w="5105" w:type="dxa"/>
          </w:tcPr>
          <w:p w14:paraId="6B743ACD" w14:textId="534E0D71"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MFA</w:t>
            </w:r>
          </w:p>
        </w:tc>
        <w:tc>
          <w:tcPr>
            <w:tcW w:w="5105" w:type="dxa"/>
          </w:tcPr>
          <w:p w14:paraId="6500CD98" w14:textId="6F0B0453"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Multi-Factor Authentication</w:t>
            </w:r>
          </w:p>
        </w:tc>
      </w:tr>
      <w:tr w:rsidR="00D25AED" w:rsidRPr="00D25AED" w14:paraId="54C49079" w14:textId="77777777" w:rsidTr="00D25AED">
        <w:tc>
          <w:tcPr>
            <w:tcW w:w="5105" w:type="dxa"/>
          </w:tcPr>
          <w:p w14:paraId="1DE8492F" w14:textId="5C017322"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NIST</w:t>
            </w:r>
          </w:p>
        </w:tc>
        <w:tc>
          <w:tcPr>
            <w:tcW w:w="5105" w:type="dxa"/>
          </w:tcPr>
          <w:p w14:paraId="734C64D1" w14:textId="2EA941E1"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National Institute of Standards and Technology</w:t>
            </w:r>
          </w:p>
        </w:tc>
      </w:tr>
      <w:tr w:rsidR="00D25AED" w:rsidRPr="00D25AED" w14:paraId="3C678B6D" w14:textId="77777777" w:rsidTr="00D25AED">
        <w:tc>
          <w:tcPr>
            <w:tcW w:w="5105" w:type="dxa"/>
          </w:tcPr>
          <w:p w14:paraId="13E75730" w14:textId="639069CA"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SAST</w:t>
            </w:r>
          </w:p>
        </w:tc>
        <w:tc>
          <w:tcPr>
            <w:tcW w:w="5105" w:type="dxa"/>
          </w:tcPr>
          <w:p w14:paraId="2D088F20" w14:textId="33403C3E"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Static Application Security Testing</w:t>
            </w:r>
          </w:p>
        </w:tc>
      </w:tr>
      <w:tr w:rsidR="00D25AED" w:rsidRPr="00D25AED" w14:paraId="496D58B6" w14:textId="77777777" w:rsidTr="00D25AED">
        <w:tc>
          <w:tcPr>
            <w:tcW w:w="5105" w:type="dxa"/>
          </w:tcPr>
          <w:p w14:paraId="1ACEBF39" w14:textId="3AC28A06"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SQL</w:t>
            </w:r>
          </w:p>
        </w:tc>
        <w:tc>
          <w:tcPr>
            <w:tcW w:w="5105" w:type="dxa"/>
          </w:tcPr>
          <w:p w14:paraId="088AA1C9" w14:textId="4EE41585"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Structured Query Language</w:t>
            </w:r>
          </w:p>
        </w:tc>
      </w:tr>
      <w:tr w:rsidR="00D25AED" w:rsidRPr="00D25AED" w14:paraId="3B8A8ADC" w14:textId="77777777" w:rsidTr="00D25AED">
        <w:tc>
          <w:tcPr>
            <w:tcW w:w="5105" w:type="dxa"/>
          </w:tcPr>
          <w:p w14:paraId="29879C0D" w14:textId="36FC279E"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SSDF</w:t>
            </w:r>
          </w:p>
        </w:tc>
        <w:tc>
          <w:tcPr>
            <w:tcW w:w="5105" w:type="dxa"/>
          </w:tcPr>
          <w:p w14:paraId="527A5E90" w14:textId="520E38E3"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Secure Software Development Framework</w:t>
            </w:r>
          </w:p>
        </w:tc>
      </w:tr>
      <w:tr w:rsidR="00D25AED" w:rsidRPr="00D25AED" w14:paraId="0B83DB7A" w14:textId="77777777" w:rsidTr="00D25AED">
        <w:tc>
          <w:tcPr>
            <w:tcW w:w="5105" w:type="dxa"/>
          </w:tcPr>
          <w:p w14:paraId="2BA1A901" w14:textId="2C46AF4A"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STRIDE</w:t>
            </w:r>
          </w:p>
        </w:tc>
        <w:tc>
          <w:tcPr>
            <w:tcW w:w="5105" w:type="dxa"/>
          </w:tcPr>
          <w:p w14:paraId="73DD4A9A" w14:textId="2C072B27"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Spoofing, Tampering, Repudiation, Information Disclosure, Denial of Service, Elevation of Privilege</w:t>
            </w:r>
          </w:p>
        </w:tc>
      </w:tr>
      <w:tr w:rsidR="00D25AED" w:rsidRPr="00D25AED" w14:paraId="7B408564" w14:textId="77777777" w:rsidTr="00D25AED">
        <w:tc>
          <w:tcPr>
            <w:tcW w:w="5105" w:type="dxa"/>
          </w:tcPr>
          <w:p w14:paraId="53C58C46" w14:textId="274BB48C"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XSS</w:t>
            </w:r>
          </w:p>
        </w:tc>
        <w:tc>
          <w:tcPr>
            <w:tcW w:w="5105" w:type="dxa"/>
          </w:tcPr>
          <w:p w14:paraId="5CA32EA0" w14:textId="4ABA9F18" w:rsidR="00D25AED" w:rsidRPr="00D25AED" w:rsidRDefault="00D25AED">
            <w:pPr>
              <w:spacing w:after="200" w:line="276" w:lineRule="auto"/>
              <w:rPr>
                <w:rFonts w:asciiTheme="majorHAnsi" w:hAnsiTheme="majorHAnsi" w:cstheme="majorHAnsi"/>
              </w:rPr>
            </w:pPr>
            <w:r w:rsidRPr="00D25AED">
              <w:rPr>
                <w:rFonts w:asciiTheme="majorHAnsi" w:hAnsiTheme="majorHAnsi" w:cstheme="majorHAnsi"/>
              </w:rPr>
              <w:t>Cross-Site Scripting</w:t>
            </w:r>
          </w:p>
        </w:tc>
      </w:tr>
    </w:tbl>
    <w:p w14:paraId="37B6B4F7" w14:textId="574E4F6B" w:rsidR="00D25AED" w:rsidRPr="00D25AED" w:rsidRDefault="00D25AED">
      <w:pPr>
        <w:spacing w:after="200" w:line="276" w:lineRule="auto"/>
        <w:rPr>
          <w:rFonts w:asciiTheme="majorHAnsi" w:eastAsiaTheme="majorEastAsia" w:hAnsiTheme="majorHAnsi" w:cstheme="majorHAnsi"/>
          <w:b/>
          <w:bCs/>
          <w:color w:val="000000"/>
          <w:sz w:val="30"/>
          <w:szCs w:val="28"/>
        </w:rPr>
      </w:pPr>
      <w:r w:rsidRPr="00D25AED">
        <w:rPr>
          <w:rFonts w:asciiTheme="majorHAnsi" w:hAnsiTheme="majorHAnsi" w:cstheme="majorHAnsi"/>
        </w:rPr>
        <w:br w:type="page"/>
      </w:r>
    </w:p>
    <w:p w14:paraId="56B67DBC" w14:textId="7596DD5A" w:rsidR="00D25AED" w:rsidRPr="00D25AED" w:rsidRDefault="00363622" w:rsidP="00D25AED">
      <w:pPr>
        <w:pStyle w:val="Heading1"/>
        <w:rPr>
          <w:rFonts w:cstheme="majorHAnsi"/>
        </w:rPr>
      </w:pPr>
      <w:r w:rsidRPr="00D25AED">
        <w:rPr>
          <w:rFonts w:cstheme="majorHAnsi"/>
        </w:rPr>
        <w:lastRenderedPageBreak/>
        <w:t>2. Question 2 – Security Engineering &amp; Threat-Based Controls</w:t>
      </w:r>
    </w:p>
    <w:p w14:paraId="30B8FA75" w14:textId="64989221" w:rsidR="005924CC" w:rsidRPr="00D25AED" w:rsidRDefault="00363622" w:rsidP="00363622">
      <w:pPr>
        <w:pStyle w:val="Heading2"/>
        <w:rPr>
          <w:rFonts w:cstheme="majorHAnsi"/>
        </w:rPr>
      </w:pPr>
      <w:r w:rsidRPr="00D25AED">
        <w:rPr>
          <w:rFonts w:cstheme="majorHAnsi"/>
        </w:rPr>
        <w:t>2.1 Security as an engineering activity</w:t>
      </w:r>
    </w:p>
    <w:p w14:paraId="436D3265" w14:textId="1E461945" w:rsidR="005924CC" w:rsidRPr="00D25AED" w:rsidRDefault="00E47F95">
      <w:pPr>
        <w:rPr>
          <w:rFonts w:asciiTheme="majorHAnsi" w:hAnsiTheme="majorHAnsi" w:cstheme="majorHAnsi"/>
        </w:rPr>
      </w:pPr>
      <w:r w:rsidRPr="00D25AED">
        <w:rPr>
          <w:rFonts w:asciiTheme="majorHAnsi" w:hAnsiTheme="majorHAnsi" w:cstheme="majorHAnsi"/>
        </w:rPr>
        <w:t>Security is strongest when it is treated as a continuous engineering concern: teams identify assets and plausible misuse early, convert those threats into verifiable requirements, design controls into the architecture, implement them defensibly and retain evidence that the controls work. A final penetration test remains valuable but it samples one deployed state and cannot economically repair architectural weaknesses discovered late. NIST's Secure Software Development Framework therefor</w:t>
      </w:r>
      <w:r w:rsidR="00363622" w:rsidRPr="00D25AED">
        <w:rPr>
          <w:rFonts w:asciiTheme="majorHAnsi" w:hAnsiTheme="majorHAnsi" w:cstheme="majorHAnsi"/>
        </w:rPr>
        <w:t xml:space="preserve">e </w:t>
      </w:r>
      <w:r w:rsidRPr="00D25AED">
        <w:rPr>
          <w:rFonts w:asciiTheme="majorHAnsi" w:hAnsiTheme="majorHAnsi" w:cstheme="majorHAnsi"/>
        </w:rPr>
        <w:t>integrates security practices across preparation, protection of software, production of well-secured software and response to vulnerabilities rather than assigning security to one end-stage test (</w:t>
      </w:r>
      <w:proofErr w:type="spellStart"/>
      <w:r w:rsidRPr="00D25AED">
        <w:rPr>
          <w:rFonts w:asciiTheme="majorHAnsi" w:hAnsiTheme="majorHAnsi" w:cstheme="majorHAnsi"/>
        </w:rPr>
        <w:t>Souppaya</w:t>
      </w:r>
      <w:proofErr w:type="spellEnd"/>
      <w:r w:rsidRPr="00D25AED">
        <w:rPr>
          <w:rFonts w:asciiTheme="majorHAnsi" w:hAnsiTheme="majorHAnsi" w:cstheme="majorHAnsi"/>
        </w:rPr>
        <w:t xml:space="preserve">, Scarfone </w:t>
      </w:r>
      <w:r w:rsidR="00363622" w:rsidRPr="00D25AED">
        <w:rPr>
          <w:rFonts w:asciiTheme="majorHAnsi" w:hAnsiTheme="majorHAnsi" w:cstheme="majorHAnsi"/>
        </w:rPr>
        <w:t>&amp;</w:t>
      </w:r>
      <w:r w:rsidRPr="00D25AED">
        <w:rPr>
          <w:rFonts w:asciiTheme="majorHAnsi" w:hAnsiTheme="majorHAnsi" w:cstheme="majorHAnsi"/>
        </w:rPr>
        <w:t xml:space="preserve"> Dodson, 2022).</w:t>
      </w:r>
    </w:p>
    <w:p w14:paraId="4F332901" w14:textId="77777777" w:rsidR="005924CC" w:rsidRPr="00D25AED" w:rsidRDefault="00E47F95">
      <w:pPr>
        <w:rPr>
          <w:rFonts w:asciiTheme="majorHAnsi" w:hAnsiTheme="majorHAnsi" w:cstheme="majorHAnsi"/>
        </w:rPr>
      </w:pPr>
      <w:r w:rsidRPr="00D25AED">
        <w:rPr>
          <w:rFonts w:asciiTheme="majorHAnsi" w:hAnsiTheme="majorHAnsi" w:cstheme="majorHAnsi"/>
        </w:rPr>
        <w:t>The practical outcome is traceability. A security claim should be connected to a threat, a control objective, an implementation mechanism and evidence. This prevents a team from confusing the presence of a tool with assurance and exposes residual risk that must inform later project decisions.</w:t>
      </w:r>
    </w:p>
    <w:p w14:paraId="7BB847AE" w14:textId="77777777" w:rsidR="002D426D" w:rsidRPr="00D25AED" w:rsidRDefault="002D426D">
      <w:pPr>
        <w:rPr>
          <w:rFonts w:asciiTheme="majorHAnsi" w:hAnsiTheme="majorHAnsi" w:cstheme="majorHAnsi"/>
        </w:rPr>
      </w:pPr>
    </w:p>
    <w:p w14:paraId="78B8DCCF" w14:textId="3339A1C5" w:rsidR="005924CC" w:rsidRPr="00D25AED" w:rsidRDefault="00363622" w:rsidP="00363622">
      <w:pPr>
        <w:pStyle w:val="Heading2"/>
        <w:rPr>
          <w:rFonts w:cstheme="majorHAnsi"/>
        </w:rPr>
      </w:pPr>
      <w:r w:rsidRPr="00D25AED">
        <w:rPr>
          <w:rFonts w:cstheme="majorHAnsi"/>
        </w:rPr>
        <w:t>2.2 Threat modelling with STRIDE</w:t>
      </w:r>
    </w:p>
    <w:p w14:paraId="66FBDC0C" w14:textId="08C6CCBF" w:rsidR="005924CC" w:rsidRPr="00D25AED" w:rsidRDefault="00E47F95">
      <w:pPr>
        <w:rPr>
          <w:rFonts w:asciiTheme="majorHAnsi" w:hAnsiTheme="majorHAnsi" w:cstheme="majorHAnsi"/>
        </w:rPr>
      </w:pPr>
      <w:r w:rsidRPr="00D25AED">
        <w:rPr>
          <w:rFonts w:asciiTheme="majorHAnsi" w:hAnsiTheme="majorHAnsi" w:cstheme="majorHAnsi"/>
        </w:rPr>
        <w:t>Threat modelling is a structured way to reason about how a system could be misused before relying on implementation-level findings. It identifies assets, entry points, trust boundaries, data flows and attacker goals, then uses those observations to prioritise requirements and verification. Its purpose is decision support: it helps a team spend effort where compromise would matter, discover design omissions while they are still inexpensive to change, assign mitigations to owners</w:t>
      </w:r>
      <w:r w:rsidR="00363622" w:rsidRPr="00D25AED">
        <w:rPr>
          <w:rFonts w:asciiTheme="majorHAnsi" w:hAnsiTheme="majorHAnsi" w:cstheme="majorHAnsi"/>
        </w:rPr>
        <w:t xml:space="preserve"> </w:t>
      </w:r>
      <w:r w:rsidRPr="00D25AED">
        <w:rPr>
          <w:rFonts w:asciiTheme="majorHAnsi" w:hAnsiTheme="majorHAnsi" w:cstheme="majorHAnsi"/>
        </w:rPr>
        <w:t>and record assumptions that later tests must challenge.</w:t>
      </w:r>
    </w:p>
    <w:p w14:paraId="67359318" w14:textId="02443C05" w:rsidR="005924CC" w:rsidRPr="00D25AED" w:rsidRDefault="00E47F95">
      <w:pPr>
        <w:rPr>
          <w:rFonts w:asciiTheme="majorHAnsi" w:hAnsiTheme="majorHAnsi" w:cstheme="majorHAnsi"/>
        </w:rPr>
      </w:pPr>
      <w:r w:rsidRPr="00D25AED">
        <w:rPr>
          <w:rFonts w:asciiTheme="majorHAnsi" w:hAnsiTheme="majorHAnsi" w:cstheme="majorHAnsi"/>
        </w:rPr>
        <w:t xml:space="preserve">STRIDE is suitable for a web-based information system </w:t>
      </w:r>
      <w:r w:rsidR="00363622" w:rsidRPr="00D25AED">
        <w:rPr>
          <w:rFonts w:asciiTheme="majorHAnsi" w:hAnsiTheme="majorHAnsi" w:cstheme="majorHAnsi"/>
        </w:rPr>
        <w:t>as</w:t>
      </w:r>
      <w:r w:rsidRPr="00D25AED">
        <w:rPr>
          <w:rFonts w:asciiTheme="majorHAnsi" w:hAnsiTheme="majorHAnsi" w:cstheme="majorHAnsi"/>
        </w:rPr>
        <w:t xml:space="preserve"> it can be applied to a data-flow diagram. The team first defines the system scope and assets; models external entities, processes, data stores, data flows and trust boundaries; examines each relevant element for spoofing, tampering, repudiation, information disclosure, denial of service and elevation of privilege</w:t>
      </w:r>
      <w:r w:rsidR="00363622" w:rsidRPr="00D25AED">
        <w:rPr>
          <w:rFonts w:asciiTheme="majorHAnsi" w:hAnsiTheme="majorHAnsi" w:cstheme="majorHAnsi"/>
        </w:rPr>
        <w:t xml:space="preserve"> </w:t>
      </w:r>
      <w:r w:rsidRPr="00D25AED">
        <w:rPr>
          <w:rFonts w:asciiTheme="majorHAnsi" w:hAnsiTheme="majorHAnsi" w:cstheme="majorHAnsi"/>
        </w:rPr>
        <w:t xml:space="preserve">and then turns credible cases into prioritised requirements, controls and tests. The categories are prompts, not a checklist that proves completeness. Scandariato, Wuyts and Joosen's empirical study found that participants could identify threats with STRIDE, while results varied between analysts and modelling involved material effort (Scandariato, Wuyts </w:t>
      </w:r>
      <w:r w:rsidR="00363622" w:rsidRPr="00D25AED">
        <w:rPr>
          <w:rFonts w:asciiTheme="majorHAnsi" w:hAnsiTheme="majorHAnsi" w:cstheme="majorHAnsi"/>
        </w:rPr>
        <w:t>&amp;</w:t>
      </w:r>
      <w:r w:rsidRPr="00D25AED">
        <w:rPr>
          <w:rFonts w:asciiTheme="majorHAnsi" w:hAnsiTheme="majorHAnsi" w:cstheme="majorHAnsi"/>
        </w:rPr>
        <w:t xml:space="preserve"> Joosen, 2015). Therefor</w:t>
      </w:r>
      <w:r w:rsidR="00363622" w:rsidRPr="00D25AED">
        <w:rPr>
          <w:rFonts w:asciiTheme="majorHAnsi" w:hAnsiTheme="majorHAnsi" w:cstheme="majorHAnsi"/>
        </w:rPr>
        <w:t>e</w:t>
      </w:r>
      <w:r w:rsidRPr="00D25AED">
        <w:rPr>
          <w:rFonts w:asciiTheme="majorHAnsi" w:hAnsiTheme="majorHAnsi" w:cstheme="majorHAnsi"/>
        </w:rPr>
        <w:t>, STRIDE supports repeatable discussion and traceability, but still requires domain knowledge, accurate diagrams and review.</w:t>
      </w:r>
    </w:p>
    <w:p w14:paraId="0D58FEA7" w14:textId="53E18CA7" w:rsidR="005924CC" w:rsidRPr="00D25AED" w:rsidRDefault="00E47F95">
      <w:pPr>
        <w:rPr>
          <w:rFonts w:asciiTheme="majorHAnsi" w:hAnsiTheme="majorHAnsi" w:cstheme="majorHAnsi"/>
        </w:rPr>
      </w:pPr>
      <w:r w:rsidRPr="00D25AED">
        <w:rPr>
          <w:rFonts w:asciiTheme="majorHAnsi" w:hAnsiTheme="majorHAnsi" w:cstheme="majorHAnsi"/>
        </w:rPr>
        <w:t>A useful workflow is iterative: model a feature during design, record threat-to-control links in the backlog, review the model when trust boundaries or data flows change and compare implemented evidence with the original assumptions. Risk ranking should consider plausible attacker capability, likelihood, affected data or service, impact and control confidence. This research does not determine which CivicConnect threats are highest; Milestone 3 must make that judgement using the actual architecture and evidence.</w:t>
      </w:r>
    </w:p>
    <w:p w14:paraId="64916FC0" w14:textId="77777777" w:rsidR="002D426D" w:rsidRPr="00D25AED" w:rsidRDefault="002D426D">
      <w:pPr>
        <w:rPr>
          <w:rFonts w:asciiTheme="majorHAnsi" w:hAnsiTheme="majorHAnsi" w:cstheme="majorHAnsi"/>
        </w:rPr>
      </w:pPr>
    </w:p>
    <w:p w14:paraId="4DA61507" w14:textId="77777777" w:rsidR="002D426D" w:rsidRPr="00D25AED" w:rsidRDefault="002D426D">
      <w:pPr>
        <w:rPr>
          <w:rFonts w:asciiTheme="majorHAnsi" w:hAnsiTheme="majorHAnsi" w:cstheme="majorHAnsi"/>
        </w:rPr>
      </w:pPr>
    </w:p>
    <w:p w14:paraId="3DCF1C4F" w14:textId="77777777" w:rsidR="002D426D" w:rsidRPr="00D25AED" w:rsidRDefault="002D426D">
      <w:pPr>
        <w:rPr>
          <w:rFonts w:asciiTheme="majorHAnsi" w:hAnsiTheme="majorHAnsi" w:cstheme="majorHAnsi"/>
        </w:rPr>
      </w:pPr>
    </w:p>
    <w:p w14:paraId="724E571C" w14:textId="77777777" w:rsidR="002D426D" w:rsidRPr="00D25AED" w:rsidRDefault="002D426D">
      <w:pPr>
        <w:rPr>
          <w:rFonts w:asciiTheme="majorHAnsi" w:hAnsiTheme="majorHAnsi" w:cstheme="majorHAnsi"/>
        </w:rPr>
      </w:pPr>
    </w:p>
    <w:p w14:paraId="7B5E7ACF" w14:textId="77777777" w:rsidR="002D426D" w:rsidRPr="00D25AED" w:rsidRDefault="002D426D">
      <w:pPr>
        <w:rPr>
          <w:rFonts w:asciiTheme="majorHAnsi" w:hAnsiTheme="majorHAnsi" w:cstheme="majorHAnsi"/>
        </w:rPr>
      </w:pPr>
    </w:p>
    <w:p w14:paraId="26D2B3AF" w14:textId="77777777" w:rsidR="002D426D" w:rsidRPr="00D25AED" w:rsidRDefault="002D426D">
      <w:pPr>
        <w:rPr>
          <w:rFonts w:asciiTheme="majorHAnsi" w:hAnsiTheme="majorHAnsi" w:cstheme="majorHAnsi"/>
        </w:rPr>
      </w:pPr>
    </w:p>
    <w:p w14:paraId="5BC1A5A9" w14:textId="77777777" w:rsidR="002D426D" w:rsidRPr="00D25AED" w:rsidRDefault="002D426D">
      <w:pPr>
        <w:rPr>
          <w:rFonts w:asciiTheme="majorHAnsi" w:hAnsiTheme="majorHAnsi" w:cstheme="majorHAnsi"/>
        </w:rPr>
      </w:pPr>
    </w:p>
    <w:p w14:paraId="42B99039" w14:textId="77777777" w:rsidR="002D426D" w:rsidRPr="00D25AED" w:rsidRDefault="002D426D">
      <w:pPr>
        <w:rPr>
          <w:rFonts w:asciiTheme="majorHAnsi" w:hAnsiTheme="majorHAnsi" w:cstheme="majorHAnsi"/>
        </w:rPr>
      </w:pPr>
    </w:p>
    <w:p w14:paraId="720BED2A" w14:textId="77777777" w:rsidR="002D426D" w:rsidRPr="00D25AED" w:rsidRDefault="002D426D">
      <w:pPr>
        <w:rPr>
          <w:rFonts w:asciiTheme="majorHAnsi" w:hAnsiTheme="majorHAnsi" w:cstheme="majorHAnsi"/>
        </w:rPr>
      </w:pPr>
    </w:p>
    <w:p w14:paraId="2A2DF49B" w14:textId="264178C2" w:rsidR="005924CC" w:rsidRPr="00D25AED" w:rsidRDefault="00363622" w:rsidP="00363622">
      <w:pPr>
        <w:pStyle w:val="Heading2"/>
        <w:rPr>
          <w:rFonts w:cstheme="majorHAnsi"/>
        </w:rPr>
      </w:pPr>
      <w:r w:rsidRPr="00D25AED">
        <w:rPr>
          <w:rFonts w:cstheme="majorHAnsi"/>
        </w:rPr>
        <w:lastRenderedPageBreak/>
        <w:t>2.3 Threat to Control Traceability Table</w:t>
      </w:r>
    </w:p>
    <w:p w14:paraId="400DB108" w14:textId="77777777" w:rsidR="005924CC" w:rsidRPr="00D25AED" w:rsidRDefault="00E47F95">
      <w:pPr>
        <w:rPr>
          <w:rFonts w:asciiTheme="majorHAnsi" w:hAnsiTheme="majorHAnsi" w:cstheme="majorHAnsi"/>
        </w:rPr>
      </w:pPr>
      <w:r w:rsidRPr="00D25AED">
        <w:rPr>
          <w:rFonts w:asciiTheme="majorHAnsi" w:hAnsiTheme="majorHAnsi" w:cstheme="majorHAnsi"/>
        </w:rPr>
        <w:t>Table 1 traces four representative concern areas. Each row is a candidate reasoning chain for a modern web system, not a declaration that CivicConnect has selected the control.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901"/>
        <w:gridCol w:w="2563"/>
        <w:gridCol w:w="2376"/>
        <w:gridCol w:w="1800"/>
      </w:tblGrid>
      <w:tr w:rsidR="005924CC" w:rsidRPr="00D25AED" w14:paraId="4819FF2C" w14:textId="77777777" w:rsidTr="00250527">
        <w:trPr>
          <w:tblHeader/>
          <w:jc w:val="center"/>
        </w:trPr>
        <w:tc>
          <w:tcPr>
            <w:tcW w:w="1800" w:type="dxa"/>
            <w:shd w:val="clear" w:color="auto" w:fill="1F497D" w:themeFill="text2"/>
            <w:tcMar>
              <w:top w:w="100" w:type="dxa"/>
              <w:left w:w="85" w:type="dxa"/>
              <w:bottom w:w="100" w:type="dxa"/>
              <w:right w:w="85" w:type="dxa"/>
            </w:tcMar>
            <w:vAlign w:val="center"/>
          </w:tcPr>
          <w:p w14:paraId="684D47C3" w14:textId="77777777" w:rsidR="005924CC" w:rsidRPr="00D25AED" w:rsidRDefault="00E47F95" w:rsidP="00363622">
            <w:pPr>
              <w:jc w:val="center"/>
              <w:rPr>
                <w:rFonts w:asciiTheme="majorHAnsi" w:hAnsiTheme="majorHAnsi" w:cstheme="majorHAnsi"/>
              </w:rPr>
            </w:pPr>
            <w:r w:rsidRPr="00D25AED">
              <w:rPr>
                <w:rFonts w:asciiTheme="majorHAnsi" w:hAnsiTheme="majorHAnsi" w:cstheme="majorHAnsi"/>
                <w:b/>
                <w:color w:val="FFFFFF"/>
                <w:sz w:val="16"/>
              </w:rPr>
              <w:t>Threat or misuse</w:t>
            </w:r>
          </w:p>
        </w:tc>
        <w:tc>
          <w:tcPr>
            <w:tcW w:w="1901" w:type="dxa"/>
            <w:shd w:val="clear" w:color="auto" w:fill="1F497D" w:themeFill="text2"/>
            <w:tcMar>
              <w:top w:w="100" w:type="dxa"/>
              <w:left w:w="85" w:type="dxa"/>
              <w:bottom w:w="100" w:type="dxa"/>
              <w:right w:w="85" w:type="dxa"/>
            </w:tcMar>
            <w:vAlign w:val="center"/>
          </w:tcPr>
          <w:p w14:paraId="77C6E518" w14:textId="77777777" w:rsidR="005924CC" w:rsidRPr="00D25AED" w:rsidRDefault="00E47F95" w:rsidP="00363622">
            <w:pPr>
              <w:jc w:val="center"/>
              <w:rPr>
                <w:rFonts w:asciiTheme="majorHAnsi" w:hAnsiTheme="majorHAnsi" w:cstheme="majorHAnsi"/>
              </w:rPr>
            </w:pPr>
            <w:r w:rsidRPr="00D25AED">
              <w:rPr>
                <w:rFonts w:asciiTheme="majorHAnsi" w:hAnsiTheme="majorHAnsi" w:cstheme="majorHAnsi"/>
                <w:b/>
                <w:color w:val="FFFFFF"/>
                <w:sz w:val="16"/>
              </w:rPr>
              <w:t>Security requirement or control objective</w:t>
            </w:r>
          </w:p>
        </w:tc>
        <w:tc>
          <w:tcPr>
            <w:tcW w:w="2563" w:type="dxa"/>
            <w:shd w:val="clear" w:color="auto" w:fill="1F497D" w:themeFill="text2"/>
            <w:tcMar>
              <w:top w:w="100" w:type="dxa"/>
              <w:left w:w="85" w:type="dxa"/>
              <w:bottom w:w="100" w:type="dxa"/>
              <w:right w:w="85" w:type="dxa"/>
            </w:tcMar>
            <w:vAlign w:val="center"/>
          </w:tcPr>
          <w:p w14:paraId="244FC115" w14:textId="77777777" w:rsidR="005924CC" w:rsidRPr="00D25AED" w:rsidRDefault="00E47F95" w:rsidP="00363622">
            <w:pPr>
              <w:jc w:val="center"/>
              <w:rPr>
                <w:rFonts w:asciiTheme="majorHAnsi" w:hAnsiTheme="majorHAnsi" w:cstheme="majorHAnsi"/>
              </w:rPr>
            </w:pPr>
            <w:r w:rsidRPr="00D25AED">
              <w:rPr>
                <w:rFonts w:asciiTheme="majorHAnsi" w:hAnsiTheme="majorHAnsi" w:cstheme="majorHAnsi"/>
                <w:b/>
                <w:color w:val="FFFFFF"/>
                <w:sz w:val="16"/>
              </w:rPr>
              <w:t>Possible engineering control</w:t>
            </w:r>
          </w:p>
        </w:tc>
        <w:tc>
          <w:tcPr>
            <w:tcW w:w="2376" w:type="dxa"/>
            <w:shd w:val="clear" w:color="auto" w:fill="1F497D" w:themeFill="text2"/>
            <w:tcMar>
              <w:top w:w="100" w:type="dxa"/>
              <w:left w:w="85" w:type="dxa"/>
              <w:bottom w:w="100" w:type="dxa"/>
              <w:right w:w="85" w:type="dxa"/>
            </w:tcMar>
            <w:vAlign w:val="center"/>
          </w:tcPr>
          <w:p w14:paraId="22AF03BE" w14:textId="77777777" w:rsidR="005924CC" w:rsidRPr="00D25AED" w:rsidRDefault="00E47F95" w:rsidP="00363622">
            <w:pPr>
              <w:jc w:val="center"/>
              <w:rPr>
                <w:rFonts w:asciiTheme="majorHAnsi" w:hAnsiTheme="majorHAnsi" w:cstheme="majorHAnsi"/>
              </w:rPr>
            </w:pPr>
            <w:r w:rsidRPr="00D25AED">
              <w:rPr>
                <w:rFonts w:asciiTheme="majorHAnsi" w:hAnsiTheme="majorHAnsi" w:cstheme="majorHAnsi"/>
                <w:b/>
                <w:color w:val="FFFFFF"/>
                <w:sz w:val="16"/>
              </w:rPr>
              <w:t>Verification evidence</w:t>
            </w:r>
          </w:p>
        </w:tc>
        <w:tc>
          <w:tcPr>
            <w:tcW w:w="1800" w:type="dxa"/>
            <w:shd w:val="clear" w:color="auto" w:fill="1F497D" w:themeFill="text2"/>
            <w:tcMar>
              <w:top w:w="100" w:type="dxa"/>
              <w:left w:w="85" w:type="dxa"/>
              <w:bottom w:w="100" w:type="dxa"/>
              <w:right w:w="85" w:type="dxa"/>
            </w:tcMar>
            <w:vAlign w:val="center"/>
          </w:tcPr>
          <w:p w14:paraId="2F2F63F2" w14:textId="77777777" w:rsidR="005924CC" w:rsidRPr="00D25AED" w:rsidRDefault="00E47F95" w:rsidP="00363622">
            <w:pPr>
              <w:jc w:val="center"/>
              <w:rPr>
                <w:rFonts w:asciiTheme="majorHAnsi" w:hAnsiTheme="majorHAnsi" w:cstheme="majorHAnsi"/>
              </w:rPr>
            </w:pPr>
            <w:r w:rsidRPr="00D25AED">
              <w:rPr>
                <w:rFonts w:asciiTheme="majorHAnsi" w:hAnsiTheme="majorHAnsi" w:cstheme="majorHAnsi"/>
                <w:b/>
                <w:color w:val="FFFFFF"/>
                <w:sz w:val="16"/>
              </w:rPr>
              <w:t>Residual risk or limitation</w:t>
            </w:r>
          </w:p>
        </w:tc>
      </w:tr>
      <w:tr w:rsidR="005924CC" w:rsidRPr="00D25AED" w14:paraId="0428B29D" w14:textId="77777777" w:rsidTr="00250527">
        <w:trPr>
          <w:cantSplit/>
          <w:jc w:val="center"/>
        </w:trPr>
        <w:tc>
          <w:tcPr>
            <w:tcW w:w="1800" w:type="dxa"/>
            <w:tcMar>
              <w:top w:w="85" w:type="dxa"/>
              <w:left w:w="75" w:type="dxa"/>
              <w:bottom w:w="85" w:type="dxa"/>
              <w:right w:w="75" w:type="dxa"/>
            </w:tcMar>
            <w:vAlign w:val="center"/>
          </w:tcPr>
          <w:p w14:paraId="285F2708"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Authentication: credential stuffing, password spraying or session theft lets an attacker impersonate a legitimate user.</w:t>
            </w:r>
          </w:p>
        </w:tc>
        <w:tc>
          <w:tcPr>
            <w:tcW w:w="1901" w:type="dxa"/>
            <w:tcMar>
              <w:top w:w="85" w:type="dxa"/>
              <w:left w:w="75" w:type="dxa"/>
              <w:bottom w:w="85" w:type="dxa"/>
              <w:right w:w="75" w:type="dxa"/>
            </w:tcMar>
            <w:vAlign w:val="center"/>
          </w:tcPr>
          <w:p w14:paraId="656934E5"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Verify identity with resistance proportionate to account risk; slow automated guessing; protect credentials and sessions; support secure recovery.</w:t>
            </w:r>
          </w:p>
        </w:tc>
        <w:tc>
          <w:tcPr>
            <w:tcW w:w="2563" w:type="dxa"/>
            <w:tcMar>
              <w:top w:w="85" w:type="dxa"/>
              <w:left w:w="75" w:type="dxa"/>
              <w:bottom w:w="85" w:type="dxa"/>
              <w:right w:w="75" w:type="dxa"/>
            </w:tcMar>
            <w:vAlign w:val="center"/>
          </w:tcPr>
          <w:p w14:paraId="101F30FA" w14:textId="0EBF380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Candidate controls include centrally enforced authentication, breached-password screening, rate limits, secure password hashing, MFA for higher-risk actions, short-lived and rotated sessions, Secure/HttpOnly/SameSite cookies and re-authentication before sensitive changes. NIST SP 800-63B-4 treats authentication assurance, verifier compromise and phishing resistance as distinct design concerns (Temoshok et al., 2025).</w:t>
            </w:r>
          </w:p>
        </w:tc>
        <w:tc>
          <w:tcPr>
            <w:tcW w:w="2376" w:type="dxa"/>
            <w:tcMar>
              <w:top w:w="85" w:type="dxa"/>
              <w:left w:w="75" w:type="dxa"/>
              <w:bottom w:w="85" w:type="dxa"/>
              <w:right w:w="75" w:type="dxa"/>
            </w:tcMar>
            <w:vAlign w:val="center"/>
          </w:tcPr>
          <w:p w14:paraId="17A69CFF"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Automated tests for lockout/rate-limit and session expiry; password-storage configuration review; tests for session fixation and logout invalidation; negative authentication cases; controlled credential-stuffing simulation; MFA enrolment, recovery and bypass tests; independent penetration testing.</w:t>
            </w:r>
          </w:p>
        </w:tc>
        <w:tc>
          <w:tcPr>
            <w:tcW w:w="1800" w:type="dxa"/>
            <w:tcMar>
              <w:top w:w="85" w:type="dxa"/>
              <w:left w:w="75" w:type="dxa"/>
              <w:bottom w:w="85" w:type="dxa"/>
              <w:right w:w="75" w:type="dxa"/>
            </w:tcMar>
            <w:vAlign w:val="center"/>
          </w:tcPr>
          <w:p w14:paraId="6DE1A29F"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MFA may still be phishable; recovery can become the weakest path; distributed low-rate attacks can evade thresholds; valid credentials may already be compromised; usability and availability trade-offs remain.</w:t>
            </w:r>
          </w:p>
        </w:tc>
      </w:tr>
      <w:tr w:rsidR="005924CC" w:rsidRPr="00D25AED" w14:paraId="5C2AEBBD" w14:textId="77777777" w:rsidTr="00250527">
        <w:trPr>
          <w:cantSplit/>
          <w:jc w:val="center"/>
        </w:trPr>
        <w:tc>
          <w:tcPr>
            <w:tcW w:w="1800" w:type="dxa"/>
            <w:tcMar>
              <w:top w:w="85" w:type="dxa"/>
              <w:left w:w="75" w:type="dxa"/>
              <w:bottom w:w="85" w:type="dxa"/>
              <w:right w:w="75" w:type="dxa"/>
            </w:tcMar>
            <w:vAlign w:val="center"/>
          </w:tcPr>
          <w:p w14:paraId="2858E676"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Authorisation and access control: an authenticated ordinary user changes an object identifier or calls an administrative API to read or modify another user’s record.</w:t>
            </w:r>
          </w:p>
        </w:tc>
        <w:tc>
          <w:tcPr>
            <w:tcW w:w="1901" w:type="dxa"/>
            <w:tcMar>
              <w:top w:w="85" w:type="dxa"/>
              <w:left w:w="75" w:type="dxa"/>
              <w:bottom w:w="85" w:type="dxa"/>
              <w:right w:w="75" w:type="dxa"/>
            </w:tcMar>
            <w:vAlign w:val="center"/>
          </w:tcPr>
          <w:p w14:paraId="758E03E5"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Every request must be authorised server-side against the authenticated subject, requested action, target object and current policy; privileges must be least necessary and denied by default.</w:t>
            </w:r>
          </w:p>
        </w:tc>
        <w:tc>
          <w:tcPr>
            <w:tcW w:w="2563" w:type="dxa"/>
            <w:tcMar>
              <w:top w:w="85" w:type="dxa"/>
              <w:left w:w="75" w:type="dxa"/>
              <w:bottom w:w="85" w:type="dxa"/>
              <w:right w:w="75" w:type="dxa"/>
            </w:tcMar>
            <w:vAlign w:val="center"/>
          </w:tcPr>
          <w:p w14:paraId="64386FE2" w14:textId="782CD3D9"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 xml:space="preserve">Candidate controls include a central policy-enforcement layer, object-level checks after data lookup, role/attribute rules, tenant scoping in queries, non-predictable identifiers as </w:t>
            </w:r>
            <w:proofErr w:type="spellStart"/>
            <w:r w:rsidRPr="00D25AED">
              <w:rPr>
                <w:rFonts w:asciiTheme="majorHAnsi" w:hAnsiTheme="majorHAnsi" w:cstheme="majorHAnsi"/>
                <w:sz w:val="15"/>
              </w:rPr>
              <w:t>defence</w:t>
            </w:r>
            <w:proofErr w:type="spellEnd"/>
            <w:r w:rsidRPr="00D25AED">
              <w:rPr>
                <w:rFonts w:asciiTheme="majorHAnsi" w:hAnsiTheme="majorHAnsi" w:cstheme="majorHAnsi"/>
                <w:sz w:val="15"/>
              </w:rPr>
              <w:t xml:space="preserve"> in depth and privileged-action separation. Least privilege, fail-safe defaults and complete mediation are established design principles (Saltzer </w:t>
            </w:r>
            <w:r w:rsidR="00250527" w:rsidRPr="00D25AED">
              <w:rPr>
                <w:rFonts w:asciiTheme="majorHAnsi" w:hAnsiTheme="majorHAnsi" w:cstheme="majorHAnsi"/>
                <w:sz w:val="15"/>
              </w:rPr>
              <w:t>&amp;</w:t>
            </w:r>
            <w:r w:rsidRPr="00D25AED">
              <w:rPr>
                <w:rFonts w:asciiTheme="majorHAnsi" w:hAnsiTheme="majorHAnsi" w:cstheme="majorHAnsi"/>
                <w:sz w:val="15"/>
              </w:rPr>
              <w:t xml:space="preserve"> Schroeder, 1975).</w:t>
            </w:r>
          </w:p>
        </w:tc>
        <w:tc>
          <w:tcPr>
            <w:tcW w:w="2376" w:type="dxa"/>
            <w:tcMar>
              <w:top w:w="85" w:type="dxa"/>
              <w:left w:w="75" w:type="dxa"/>
              <w:bottom w:w="85" w:type="dxa"/>
              <w:right w:w="75" w:type="dxa"/>
            </w:tcMar>
            <w:vAlign w:val="center"/>
          </w:tcPr>
          <w:p w14:paraId="64292F81"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Role-permission matrix review; unit tests for policy rules; integration tests covering each endpoint and object operation; negative cross-user and cross-tenant tests; forced-browsing tests; code review tracing routes to authorisation middleware; audit-log review for denied and privileged actions.</w:t>
            </w:r>
          </w:p>
        </w:tc>
        <w:tc>
          <w:tcPr>
            <w:tcW w:w="1800" w:type="dxa"/>
            <w:tcMar>
              <w:top w:w="85" w:type="dxa"/>
              <w:left w:w="75" w:type="dxa"/>
              <w:bottom w:w="85" w:type="dxa"/>
              <w:right w:w="75" w:type="dxa"/>
            </w:tcMar>
            <w:vAlign w:val="center"/>
          </w:tcPr>
          <w:p w14:paraId="1B10521D"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A correct role model may still encode the wrong business policy; missing endpoints or background jobs can bypass the enforcement point; stale entitlements and administrator misuse remain; tests cover sampled identities and objects.</w:t>
            </w:r>
          </w:p>
        </w:tc>
      </w:tr>
      <w:tr w:rsidR="005924CC" w:rsidRPr="00D25AED" w14:paraId="6C87C56C" w14:textId="77777777" w:rsidTr="00250527">
        <w:trPr>
          <w:cantSplit/>
          <w:jc w:val="center"/>
        </w:trPr>
        <w:tc>
          <w:tcPr>
            <w:tcW w:w="1800" w:type="dxa"/>
            <w:tcMar>
              <w:top w:w="85" w:type="dxa"/>
              <w:left w:w="75" w:type="dxa"/>
              <w:bottom w:w="85" w:type="dxa"/>
              <w:right w:w="75" w:type="dxa"/>
            </w:tcMar>
            <w:vAlign w:val="center"/>
          </w:tcPr>
          <w:p w14:paraId="75A29D41"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Secrets and configuration: an API key, database password or signing key is committed to source control or exposed in build logs, enabling data access or service impersonation.</w:t>
            </w:r>
          </w:p>
        </w:tc>
        <w:tc>
          <w:tcPr>
            <w:tcW w:w="1901" w:type="dxa"/>
            <w:tcMar>
              <w:top w:w="85" w:type="dxa"/>
              <w:left w:w="75" w:type="dxa"/>
              <w:bottom w:w="85" w:type="dxa"/>
              <w:right w:w="75" w:type="dxa"/>
            </w:tcMar>
            <w:vAlign w:val="center"/>
          </w:tcPr>
          <w:p w14:paraId="7A77C085" w14:textId="7DCC03CF"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Secrets must remain outside source and ordinary logs, be available only to authorised workloads and people, be rotated and revoked and have traceable use; production configuration must fail safely.</w:t>
            </w:r>
          </w:p>
        </w:tc>
        <w:tc>
          <w:tcPr>
            <w:tcW w:w="2563" w:type="dxa"/>
            <w:tcMar>
              <w:top w:w="85" w:type="dxa"/>
              <w:left w:w="75" w:type="dxa"/>
              <w:bottom w:w="85" w:type="dxa"/>
              <w:right w:w="75" w:type="dxa"/>
            </w:tcMar>
            <w:vAlign w:val="center"/>
          </w:tcPr>
          <w:p w14:paraId="5F219C89" w14:textId="6C298045"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 xml:space="preserve">Candidate controls include a managed secret store, runtime identity instead of static keys where possible, least-privilege access, environment-specific injection, redaction, protected CI variables, key rotation and an incident process for leaked credentials. Large-scale research found persistent secret leakage in public repositories, demonstrating that process controls alone are insufficient (Meli, McNiece </w:t>
            </w:r>
            <w:r w:rsidR="00250527" w:rsidRPr="00D25AED">
              <w:rPr>
                <w:rFonts w:asciiTheme="majorHAnsi" w:hAnsiTheme="majorHAnsi" w:cstheme="majorHAnsi"/>
                <w:sz w:val="15"/>
              </w:rPr>
              <w:t>&amp;</w:t>
            </w:r>
            <w:r w:rsidRPr="00D25AED">
              <w:rPr>
                <w:rFonts w:asciiTheme="majorHAnsi" w:hAnsiTheme="majorHAnsi" w:cstheme="majorHAnsi"/>
                <w:sz w:val="15"/>
              </w:rPr>
              <w:t xml:space="preserve"> Reaves, 2019).</w:t>
            </w:r>
          </w:p>
        </w:tc>
        <w:tc>
          <w:tcPr>
            <w:tcW w:w="2376" w:type="dxa"/>
            <w:tcMar>
              <w:top w:w="85" w:type="dxa"/>
              <w:left w:w="75" w:type="dxa"/>
              <w:bottom w:w="85" w:type="dxa"/>
              <w:right w:w="75" w:type="dxa"/>
            </w:tcMar>
            <w:vAlign w:val="center"/>
          </w:tcPr>
          <w:p w14:paraId="277F151A"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Repository-history and CI-log secret scans; configuration review; access-policy tests; deployment test proving secrets are injected without appearing in artefacts; rotation and revocation exercise; canary-secret monitoring; review of logs and crash reports for disclosure.</w:t>
            </w:r>
          </w:p>
        </w:tc>
        <w:tc>
          <w:tcPr>
            <w:tcW w:w="1800" w:type="dxa"/>
            <w:tcMar>
              <w:top w:w="85" w:type="dxa"/>
              <w:left w:w="75" w:type="dxa"/>
              <w:bottom w:w="85" w:type="dxa"/>
              <w:right w:w="75" w:type="dxa"/>
            </w:tcMar>
            <w:vAlign w:val="center"/>
          </w:tcPr>
          <w:p w14:paraId="51595E69"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Scanners miss novel formats and produce false positives; deleted Git content may persist in clones and caches; a detected secret may already have been abused; rotation can fail because of hidden consumers; the store itself becomes high value.</w:t>
            </w:r>
          </w:p>
        </w:tc>
      </w:tr>
      <w:tr w:rsidR="005924CC" w:rsidRPr="00D25AED" w14:paraId="1BF3B752" w14:textId="77777777" w:rsidTr="00250527">
        <w:trPr>
          <w:cantSplit/>
          <w:jc w:val="center"/>
        </w:trPr>
        <w:tc>
          <w:tcPr>
            <w:tcW w:w="1800" w:type="dxa"/>
            <w:tcMar>
              <w:top w:w="85" w:type="dxa"/>
              <w:left w:w="75" w:type="dxa"/>
              <w:bottom w:w="85" w:type="dxa"/>
              <w:right w:w="75" w:type="dxa"/>
            </w:tcMar>
            <w:vAlign w:val="center"/>
          </w:tcPr>
          <w:p w14:paraId="2FADB3ED"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Input and data handling: attacker-controlled form or API input changes the meaning of a database command, script or downstream query, causing injection, disclosure or corruption.</w:t>
            </w:r>
          </w:p>
        </w:tc>
        <w:tc>
          <w:tcPr>
            <w:tcW w:w="1901" w:type="dxa"/>
            <w:tcMar>
              <w:top w:w="85" w:type="dxa"/>
              <w:left w:w="75" w:type="dxa"/>
              <w:bottom w:w="85" w:type="dxa"/>
              <w:right w:w="75" w:type="dxa"/>
            </w:tcMar>
            <w:vAlign w:val="center"/>
          </w:tcPr>
          <w:p w14:paraId="35DC4FF5"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Treat external data as untrusted; enforce syntactic and semantic constraints; keep data separate from commands; encode output for its context; reject unsafe state changes and limit database privilege.</w:t>
            </w:r>
          </w:p>
        </w:tc>
        <w:tc>
          <w:tcPr>
            <w:tcW w:w="2563" w:type="dxa"/>
            <w:tcMar>
              <w:top w:w="85" w:type="dxa"/>
              <w:left w:w="75" w:type="dxa"/>
              <w:bottom w:w="85" w:type="dxa"/>
              <w:right w:w="75" w:type="dxa"/>
            </w:tcMar>
            <w:vAlign w:val="center"/>
          </w:tcPr>
          <w:p w14:paraId="5FF44112" w14:textId="195FE8D9"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Candidate controls include parameterised queries, safe framework APIs, allow-list validation at trust boundaries, canonicalisation before validation, contextual output encoding, safe file handling, request-size limits and least-privilege database accounts. SQL-injection research shows that attacks exploit unchecked input reaching query construction and that countermeasures differ in coverage (</w:t>
            </w:r>
            <w:proofErr w:type="spellStart"/>
            <w:r w:rsidRPr="00D25AED">
              <w:rPr>
                <w:rFonts w:asciiTheme="majorHAnsi" w:hAnsiTheme="majorHAnsi" w:cstheme="majorHAnsi"/>
                <w:sz w:val="15"/>
              </w:rPr>
              <w:t>Halfond</w:t>
            </w:r>
            <w:proofErr w:type="spellEnd"/>
            <w:r w:rsidRPr="00D25AED">
              <w:rPr>
                <w:rFonts w:asciiTheme="majorHAnsi" w:hAnsiTheme="majorHAnsi" w:cstheme="majorHAnsi"/>
                <w:sz w:val="15"/>
              </w:rPr>
              <w:t xml:space="preserve">, Viegas </w:t>
            </w:r>
            <w:r w:rsidR="00250527" w:rsidRPr="00D25AED">
              <w:rPr>
                <w:rFonts w:asciiTheme="majorHAnsi" w:hAnsiTheme="majorHAnsi" w:cstheme="majorHAnsi"/>
                <w:sz w:val="15"/>
              </w:rPr>
              <w:t>&amp;</w:t>
            </w:r>
            <w:r w:rsidRPr="00D25AED">
              <w:rPr>
                <w:rFonts w:asciiTheme="majorHAnsi" w:hAnsiTheme="majorHAnsi" w:cstheme="majorHAnsi"/>
                <w:sz w:val="15"/>
              </w:rPr>
              <w:t xml:space="preserve"> Orso, 2006).</w:t>
            </w:r>
          </w:p>
        </w:tc>
        <w:tc>
          <w:tcPr>
            <w:tcW w:w="2376" w:type="dxa"/>
            <w:tcMar>
              <w:top w:w="85" w:type="dxa"/>
              <w:left w:w="75" w:type="dxa"/>
              <w:bottom w:w="85" w:type="dxa"/>
              <w:right w:w="75" w:type="dxa"/>
            </w:tcMar>
            <w:vAlign w:val="center"/>
          </w:tcPr>
          <w:p w14:paraId="38712BED"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Unit tests for validators and encoders; API boundary tests including malformed, oversized and unexpected types; SAST taint-flow findings reviewed by humans; DAST/fuzzing against deployed routes; targeted SQL/XSS test cases; database-permission tests; code review of dangerous sinks.</w:t>
            </w:r>
          </w:p>
        </w:tc>
        <w:tc>
          <w:tcPr>
            <w:tcW w:w="1800" w:type="dxa"/>
            <w:tcMar>
              <w:top w:w="85" w:type="dxa"/>
              <w:left w:w="75" w:type="dxa"/>
              <w:bottom w:w="85" w:type="dxa"/>
              <w:right w:w="75" w:type="dxa"/>
            </w:tcMar>
            <w:vAlign w:val="center"/>
          </w:tcPr>
          <w:p w14:paraId="68AEFB83" w14:textId="77777777" w:rsidR="005924CC" w:rsidRPr="00D25AED" w:rsidRDefault="00E47F95">
            <w:pPr>
              <w:spacing w:after="40" w:line="240" w:lineRule="auto"/>
              <w:rPr>
                <w:rFonts w:asciiTheme="majorHAnsi" w:hAnsiTheme="majorHAnsi" w:cstheme="majorHAnsi"/>
              </w:rPr>
            </w:pPr>
            <w:r w:rsidRPr="00D25AED">
              <w:rPr>
                <w:rFonts w:asciiTheme="majorHAnsi" w:hAnsiTheme="majorHAnsi" w:cstheme="majorHAnsi"/>
                <w:sz w:val="15"/>
              </w:rPr>
              <w:t>Validation can miss business-logic abuse and alternative encodings; SAST/DAST have blind spots; third-party parsers may be vulnerable; parameterisation does not prove correct authorisation or safe dynamic identifiers; production data flows may differ from tests.</w:t>
            </w:r>
          </w:p>
        </w:tc>
      </w:tr>
    </w:tbl>
    <w:p w14:paraId="6FCC7963" w14:textId="15DCF152" w:rsidR="005924CC" w:rsidRPr="00D25AED" w:rsidRDefault="00363622" w:rsidP="00363622">
      <w:pPr>
        <w:pStyle w:val="Heading2"/>
        <w:rPr>
          <w:rFonts w:cstheme="majorHAnsi"/>
        </w:rPr>
      </w:pPr>
      <w:r w:rsidRPr="00D25AED">
        <w:rPr>
          <w:rFonts w:cstheme="majorHAnsi"/>
        </w:rPr>
        <w:t>2.4 Why design construction and checking must work together</w:t>
      </w:r>
    </w:p>
    <w:p w14:paraId="1259B870" w14:textId="0F748F4C" w:rsidR="005924CC" w:rsidRPr="00D25AED" w:rsidRDefault="00E47F95">
      <w:pPr>
        <w:rPr>
          <w:rFonts w:asciiTheme="majorHAnsi" w:hAnsiTheme="majorHAnsi" w:cstheme="majorHAnsi"/>
        </w:rPr>
      </w:pPr>
      <w:r w:rsidRPr="00D25AED">
        <w:rPr>
          <w:rFonts w:asciiTheme="majorHAnsi" w:hAnsiTheme="majorHAnsi" w:cstheme="majorHAnsi"/>
        </w:rPr>
        <w:t>Secure design decides the security properties and architecture: trust boundaries, identity flows, access policy, data classification, failure behaviour and containment. It can prevent whole classes of weakness, but a sound design can be implemented incorrectly. Secure coding realises the design through safe APIs, defensive input handling, correct cryptography use, error handling and review. Coding discipline, however cannot compensate for a missing authorisation model or an over-privileged architecture.</w:t>
      </w:r>
    </w:p>
    <w:p w14:paraId="170562B4" w14:textId="08C16DCD" w:rsidR="005924CC" w:rsidRPr="00D25AED" w:rsidRDefault="00E47F95">
      <w:pPr>
        <w:rPr>
          <w:rFonts w:asciiTheme="majorHAnsi" w:hAnsiTheme="majorHAnsi" w:cstheme="majorHAnsi"/>
        </w:rPr>
      </w:pPr>
      <w:r w:rsidRPr="00D25AED">
        <w:rPr>
          <w:rFonts w:asciiTheme="majorHAnsi" w:hAnsiTheme="majorHAnsi" w:cstheme="majorHAnsi"/>
        </w:rPr>
        <w:lastRenderedPageBreak/>
        <w:t>Dependency and security checks provide another layer. Software-composition analysis can reveal known vulnerable components and licence or provenance concerns; secret scanning can detect exposed credentials; static analysis can identify some dangerous data flows; dynamic testing and penetration testing exercise running behaviour. These checks find departures from design and construction expectations, but they are bounded by rules, visibility, configuration and test data. The SSDF therefore treats security requirements, design review, protected development environments, code review, testing and vulnerability response as mutually reinforcing practices (</w:t>
      </w:r>
      <w:proofErr w:type="spellStart"/>
      <w:r w:rsidRPr="00D25AED">
        <w:rPr>
          <w:rFonts w:asciiTheme="majorHAnsi" w:hAnsiTheme="majorHAnsi" w:cstheme="majorHAnsi"/>
        </w:rPr>
        <w:t>Souppaya</w:t>
      </w:r>
      <w:proofErr w:type="spellEnd"/>
      <w:r w:rsidRPr="00D25AED">
        <w:rPr>
          <w:rFonts w:asciiTheme="majorHAnsi" w:hAnsiTheme="majorHAnsi" w:cstheme="majorHAnsi"/>
        </w:rPr>
        <w:t xml:space="preserve">, Scarfone </w:t>
      </w:r>
      <w:r w:rsidR="00250527" w:rsidRPr="00D25AED">
        <w:rPr>
          <w:rFonts w:asciiTheme="majorHAnsi" w:hAnsiTheme="majorHAnsi" w:cstheme="majorHAnsi"/>
        </w:rPr>
        <w:t>&amp;</w:t>
      </w:r>
      <w:r w:rsidRPr="00D25AED">
        <w:rPr>
          <w:rFonts w:asciiTheme="majorHAnsi" w:hAnsiTheme="majorHAnsi" w:cstheme="majorHAnsi"/>
        </w:rPr>
        <w:t xml:space="preserve"> Dodson, 2022). The defensible claim is not that one layer makes the system secure, but that independent layers reduce different failure modes and produce complementary evidence.</w:t>
      </w:r>
    </w:p>
    <w:p w14:paraId="44A847D7" w14:textId="4266AA1F" w:rsidR="005924CC" w:rsidRPr="00D25AED" w:rsidRDefault="00363622" w:rsidP="00363622">
      <w:pPr>
        <w:pStyle w:val="Heading2"/>
        <w:rPr>
          <w:rFonts w:cstheme="majorHAnsi"/>
        </w:rPr>
      </w:pPr>
      <w:r w:rsidRPr="00D25AED">
        <w:rPr>
          <w:rFonts w:cstheme="majorHAnsi"/>
        </w:rPr>
        <w:t>2.5 Limitations of automated tools and AI recommendations</w:t>
      </w:r>
    </w:p>
    <w:p w14:paraId="06D8E2A5" w14:textId="77777777" w:rsidR="005924CC" w:rsidRPr="00D25AED" w:rsidRDefault="00E47F95">
      <w:pPr>
        <w:rPr>
          <w:rFonts w:asciiTheme="majorHAnsi" w:hAnsiTheme="majorHAnsi" w:cstheme="majorHAnsi"/>
        </w:rPr>
      </w:pPr>
      <w:r w:rsidRPr="00D25AED">
        <w:rPr>
          <w:rFonts w:asciiTheme="majorHAnsi" w:hAnsiTheme="majorHAnsi" w:cstheme="majorHAnsi"/>
        </w:rPr>
        <w:t>Coverage and context limitations. Automated tools recognise patterns included in their rules or reachable during a scan. Static analysis may not understand runtime configuration, identity-provider behaviour, multi-service data flows or whether an access rule matches the organisation's real policy. Dynamic scanners only exercise reachable paths with supplied credentials and data. They can miss dormant endpoints, race conditions, abuse of legitimate workflows and vulnerabilities in unauthenticated-versus-privileged combinations. Conversely, conservative rules create false positives that consume review effort. Experience deploying static analysis at Google shows that developer adoption depends on useful, actionable findings and careful control of false-positive burden (Sadowski et al., 2018).</w:t>
      </w:r>
    </w:p>
    <w:p w14:paraId="497B77C2" w14:textId="77777777" w:rsidR="005924CC" w:rsidRPr="00D25AED" w:rsidRDefault="00E47F95">
      <w:pPr>
        <w:rPr>
          <w:rFonts w:asciiTheme="majorHAnsi" w:hAnsiTheme="majorHAnsi" w:cstheme="majorHAnsi"/>
        </w:rPr>
      </w:pPr>
      <w:r w:rsidRPr="00D25AED">
        <w:rPr>
          <w:rFonts w:asciiTheme="majorHAnsi" w:hAnsiTheme="majorHAnsi" w:cstheme="majorHAnsi"/>
        </w:rPr>
        <w:t>Evidence freshness and interpretation. A clean scan describes a particular code revision, dependency database, configuration, environment and tool version. It does not show that production matches the scanned target, that business requirements are correct, or that controls remain effective after configuration drift. Dependency tools also rely on incomplete identifiers and vulnerability disclosures: an unreported or unreachable vulnerability may be treated incorrectly in either direction. Findings therefore require triage, reproduction, threat context and compensating evidence rather than automatic acceptance or dismissal.</w:t>
      </w:r>
    </w:p>
    <w:p w14:paraId="20AE2093" w14:textId="77777777" w:rsidR="005924CC" w:rsidRPr="00D25AED" w:rsidRDefault="00E47F95">
      <w:pPr>
        <w:rPr>
          <w:rFonts w:asciiTheme="majorHAnsi" w:hAnsiTheme="majorHAnsi" w:cstheme="majorHAnsi"/>
        </w:rPr>
      </w:pPr>
      <w:r w:rsidRPr="00D25AED">
        <w:rPr>
          <w:rFonts w:asciiTheme="majorHAnsi" w:hAnsiTheme="majorHAnsi" w:cstheme="majorHAnsi"/>
        </w:rPr>
        <w:t>AI-specific limitations. Generated recommendations or code can sound authoritative while inventing APIs, overlooking local trust boundaries, reusing insecure patterns, or optimising for functional completion instead of abuse resistance. Pearce et al. (2022) found that GitHub Copilot could generate vulnerable code in security-relevant scenarios, which means AI output must be treated as an untrusted proposal. Prompts can also disclose sensitive architecture or code to an external service, and model outputs may not be reproducible as models change. Human review, authoritative standards, tests mapped to requirements and accountable approval remain necessary. AI can help brainstorm threats and tests, but it cannot own risk acceptance or certify completeness.</w:t>
      </w:r>
    </w:p>
    <w:p w14:paraId="53246BBC" w14:textId="4E6EA817" w:rsidR="005924CC" w:rsidRPr="00D25AED" w:rsidRDefault="00363622" w:rsidP="00363622">
      <w:pPr>
        <w:pStyle w:val="Heading2"/>
        <w:rPr>
          <w:rFonts w:cstheme="majorHAnsi"/>
        </w:rPr>
      </w:pPr>
      <w:r w:rsidRPr="00D25AED">
        <w:rPr>
          <w:rFonts w:cstheme="majorHAnsi"/>
        </w:rPr>
        <w:t>2.6 Critical question</w:t>
      </w:r>
    </w:p>
    <w:p w14:paraId="3745FE50" w14:textId="77777777" w:rsidR="005924CC" w:rsidRPr="00D25AED" w:rsidRDefault="00E47F95">
      <w:pPr>
        <w:rPr>
          <w:rFonts w:asciiTheme="majorHAnsi" w:hAnsiTheme="majorHAnsi" w:cstheme="majorHAnsi"/>
        </w:rPr>
      </w:pPr>
      <w:r w:rsidRPr="00D25AED">
        <w:rPr>
          <w:rFonts w:asciiTheme="majorHAnsi" w:hAnsiTheme="majorHAnsi" w:cstheme="majorHAnsi"/>
          <w:b/>
        </w:rPr>
        <w:t>If a security scanner reports no high-severity findings, what remains unproven?</w:t>
      </w:r>
    </w:p>
    <w:p w14:paraId="133A15F0" w14:textId="77777777" w:rsidR="005924CC" w:rsidRPr="00D25AED" w:rsidRDefault="00E47F95">
      <w:pPr>
        <w:rPr>
          <w:rFonts w:asciiTheme="majorHAnsi" w:hAnsiTheme="majorHAnsi" w:cstheme="majorHAnsi"/>
        </w:rPr>
      </w:pPr>
      <w:r w:rsidRPr="00D25AED">
        <w:rPr>
          <w:rFonts w:asciiTheme="majorHAnsi" w:hAnsiTheme="majorHAnsi" w:cstheme="majorHAnsi"/>
        </w:rPr>
        <w:t>A zero-high result proves only that the configured scanner did not classify a detected issue as high severity in the artefact and context it examined. It does not prove that the threat model is complete; authentication recovery resists takeover; every object and endpoint enforces the intended access policy; secrets were never exposed; business workflows cannot be abused; privacy obligations are satisfied; logs are complete and tamper-resistant; dependencies are free of unknown vulnerabilities; production configuration matches the test environment; controls withstand chained low-severity weaknesses; or incident detection and recovery will work. It also does not prove absence of false negatives. Those claims need design review, manual code review, configuration and architecture inspection, negative authorisation tests, authenticated dynamic testing, dependency and secret checks, penetration testing, operational evidence and explicit residual-risk review. A scanner result is one item of evidence, not a release decision.</w:t>
      </w:r>
    </w:p>
    <w:p w14:paraId="3668479E" w14:textId="7A31D3D5" w:rsidR="005924CC" w:rsidRPr="00D25AED" w:rsidRDefault="00363622" w:rsidP="00363622">
      <w:pPr>
        <w:pStyle w:val="Heading2"/>
        <w:rPr>
          <w:rFonts w:cstheme="majorHAnsi"/>
        </w:rPr>
      </w:pPr>
      <w:r w:rsidRPr="00D25AED">
        <w:rPr>
          <w:rFonts w:cstheme="majorHAnsi"/>
        </w:rPr>
        <w:t>2.7 Research conclusion and bridge to Milestone 3</w:t>
      </w:r>
    </w:p>
    <w:p w14:paraId="59905169" w14:textId="77777777" w:rsidR="005924CC" w:rsidRPr="00D25AED" w:rsidRDefault="00E47F95">
      <w:pPr>
        <w:rPr>
          <w:rFonts w:asciiTheme="majorHAnsi" w:hAnsiTheme="majorHAnsi" w:cstheme="majorHAnsi"/>
        </w:rPr>
      </w:pPr>
      <w:r w:rsidRPr="00D25AED">
        <w:rPr>
          <w:rFonts w:asciiTheme="majorHAnsi" w:hAnsiTheme="majorHAnsi" w:cstheme="majorHAnsi"/>
        </w:rPr>
        <w:t xml:space="preserve">Threat modelling creates value when it drives explicit, testable security requirements rather than producing a diagram that is filed away. STRIDE offers a recognised structure for examining data flows and trust boundaries, but </w:t>
      </w:r>
      <w:r w:rsidRPr="00D25AED">
        <w:rPr>
          <w:rFonts w:asciiTheme="majorHAnsi" w:hAnsiTheme="majorHAnsi" w:cstheme="majorHAnsi"/>
        </w:rPr>
        <w:lastRenderedPageBreak/>
        <w:t>analyst variability and model quality mean it should be reviewed and updated. The four example chains show the required reasoning pattern: credible misuse leads to an objective, a candidate control and multiple forms of evidence, followed by an honest statement of residual risk.</w:t>
      </w:r>
    </w:p>
    <w:p w14:paraId="10902142" w14:textId="7A669E3A" w:rsidR="005924CC" w:rsidRPr="00D25AED" w:rsidRDefault="00E47F95">
      <w:pPr>
        <w:rPr>
          <w:rFonts w:asciiTheme="majorHAnsi" w:hAnsiTheme="majorHAnsi" w:cstheme="majorHAnsi"/>
        </w:rPr>
      </w:pPr>
      <w:r w:rsidRPr="00D25AED">
        <w:rPr>
          <w:rFonts w:asciiTheme="majorHAnsi" w:hAnsiTheme="majorHAnsi" w:cstheme="majorHAnsi"/>
        </w:rPr>
        <w:t>Milestone 3 must still determine which threats are credible for CivicConnect, which assets and trust boundaries matter most, the assurance level required, which controls fit its actual technology and constraints, what evidence is sufficient and which residual risks can be accepted. This preserves the assignment's research-versus-project-decision boundary.</w:t>
      </w:r>
    </w:p>
    <w:p w14:paraId="04589AFA" w14:textId="77777777" w:rsidR="005924CC" w:rsidRPr="00D25AED" w:rsidRDefault="00E47F95">
      <w:pPr>
        <w:pStyle w:val="Heading1"/>
        <w:rPr>
          <w:rFonts w:cstheme="majorHAnsi"/>
        </w:rPr>
      </w:pPr>
      <w:r w:rsidRPr="00D25AED">
        <w:rPr>
          <w:rFonts w:cstheme="majorHAnsi"/>
        </w:rPr>
        <w:t>References</w:t>
      </w:r>
    </w:p>
    <w:p w14:paraId="17243E5B" w14:textId="77777777" w:rsidR="00456EE1" w:rsidRPr="00D25AED" w:rsidRDefault="00456EE1" w:rsidP="00456EE1">
      <w:pPr>
        <w:rPr>
          <w:rFonts w:asciiTheme="majorHAnsi" w:hAnsiTheme="majorHAnsi" w:cstheme="majorHAnsi"/>
          <w:sz w:val="18"/>
          <w:lang w:val="en-ZA"/>
        </w:rPr>
      </w:pPr>
      <w:proofErr w:type="spellStart"/>
      <w:r w:rsidRPr="00D25AED">
        <w:rPr>
          <w:rFonts w:asciiTheme="majorHAnsi" w:hAnsiTheme="majorHAnsi" w:cstheme="majorHAnsi"/>
          <w:sz w:val="18"/>
          <w:lang w:val="en-ZA"/>
        </w:rPr>
        <w:t>Halfond</w:t>
      </w:r>
      <w:proofErr w:type="spellEnd"/>
      <w:r w:rsidRPr="00D25AED">
        <w:rPr>
          <w:rFonts w:asciiTheme="majorHAnsi" w:hAnsiTheme="majorHAnsi" w:cstheme="majorHAnsi"/>
          <w:sz w:val="18"/>
          <w:lang w:val="en-ZA"/>
        </w:rPr>
        <w:t xml:space="preserve">, W.G.J., Viegas, J. and Orso, A. (2006) 'A classification of SQL-injection attacks and countermeasures', Proceedings of the IEEE International Symposium on Secure Software Engineering. </w:t>
      </w:r>
      <w:hyperlink r:id="rId8" w:history="1">
        <w:r w:rsidRPr="00D25AED">
          <w:rPr>
            <w:rStyle w:val="Hyperlink"/>
            <w:rFonts w:asciiTheme="majorHAnsi" w:hAnsiTheme="majorHAnsi" w:cstheme="majorHAnsi"/>
            <w:sz w:val="18"/>
            <w:lang w:val="en-ZA"/>
          </w:rPr>
          <w:t>Google Scholar</w:t>
        </w:r>
      </w:hyperlink>
    </w:p>
    <w:p w14:paraId="6478F7F5" w14:textId="77777777" w:rsidR="00456EE1" w:rsidRPr="00D25AED" w:rsidRDefault="00456EE1" w:rsidP="00456EE1">
      <w:pPr>
        <w:rPr>
          <w:rFonts w:asciiTheme="majorHAnsi" w:hAnsiTheme="majorHAnsi" w:cstheme="majorHAnsi"/>
          <w:sz w:val="18"/>
          <w:lang w:val="en-ZA"/>
        </w:rPr>
      </w:pPr>
      <w:r w:rsidRPr="00D25AED">
        <w:rPr>
          <w:rFonts w:asciiTheme="majorHAnsi" w:hAnsiTheme="majorHAnsi" w:cstheme="majorHAnsi"/>
          <w:sz w:val="18"/>
          <w:lang w:val="en-ZA"/>
        </w:rPr>
        <w:t xml:space="preserve">Meli, M., McNiece, M.R. and Reaves, B. (2019) 'How Bad Can It Git? Characterizing Secret Leakage in Public GitHub Repositories', Network and Distributed System Security Symposium. doi:10.14722/ndss.2019.23418. </w:t>
      </w:r>
      <w:hyperlink r:id="rId9" w:history="1">
        <w:r w:rsidRPr="00D25AED">
          <w:rPr>
            <w:rStyle w:val="Hyperlink"/>
            <w:rFonts w:asciiTheme="majorHAnsi" w:hAnsiTheme="majorHAnsi" w:cstheme="majorHAnsi"/>
            <w:sz w:val="18"/>
            <w:lang w:val="en-ZA"/>
          </w:rPr>
          <w:t>Google Scholar</w:t>
        </w:r>
      </w:hyperlink>
    </w:p>
    <w:p w14:paraId="0FCD6D1D" w14:textId="77777777" w:rsidR="00456EE1" w:rsidRPr="00D25AED" w:rsidRDefault="00456EE1" w:rsidP="00456EE1">
      <w:pPr>
        <w:rPr>
          <w:rFonts w:asciiTheme="majorHAnsi" w:hAnsiTheme="majorHAnsi" w:cstheme="majorHAnsi"/>
          <w:sz w:val="18"/>
          <w:lang w:val="en-ZA"/>
        </w:rPr>
      </w:pPr>
      <w:r w:rsidRPr="00D25AED">
        <w:rPr>
          <w:rFonts w:asciiTheme="majorHAnsi" w:hAnsiTheme="majorHAnsi" w:cstheme="majorHAnsi"/>
          <w:sz w:val="18"/>
          <w:lang w:val="en-ZA"/>
        </w:rPr>
        <w:t xml:space="preserve">Pearce, H., Ahmad, B., Tan, B., Dolan-Gavitt, B. and Karri, R. (2022) 'Asleep at the Keyboard? Assessing the Security of GitHub Copilot's Code Contributions', 2022 IEEE Symposium on Security and Privacy, pp. 754-768. doi:10.1109/SP46214.2022.9833571. </w:t>
      </w:r>
      <w:hyperlink r:id="rId10" w:history="1">
        <w:r w:rsidRPr="00D25AED">
          <w:rPr>
            <w:rStyle w:val="Hyperlink"/>
            <w:rFonts w:asciiTheme="majorHAnsi" w:hAnsiTheme="majorHAnsi" w:cstheme="majorHAnsi"/>
            <w:sz w:val="18"/>
            <w:lang w:val="en-ZA"/>
          </w:rPr>
          <w:t>Google Scholar</w:t>
        </w:r>
      </w:hyperlink>
    </w:p>
    <w:p w14:paraId="56DFB5B8" w14:textId="77777777" w:rsidR="00456EE1" w:rsidRPr="00D25AED" w:rsidRDefault="00456EE1" w:rsidP="00456EE1">
      <w:pPr>
        <w:rPr>
          <w:rFonts w:asciiTheme="majorHAnsi" w:hAnsiTheme="majorHAnsi" w:cstheme="majorHAnsi"/>
          <w:sz w:val="18"/>
          <w:lang w:val="en-ZA"/>
        </w:rPr>
      </w:pPr>
      <w:r w:rsidRPr="00D25AED">
        <w:rPr>
          <w:rFonts w:asciiTheme="majorHAnsi" w:hAnsiTheme="majorHAnsi" w:cstheme="majorHAnsi"/>
          <w:sz w:val="18"/>
          <w:lang w:val="en-ZA"/>
        </w:rPr>
        <w:t xml:space="preserve">Sadowski, C., Aftandilian, E., Eagle, A., Miller-Cushon, L. and Jaspan, C. (2018) 'Lessons from building static analysis tools at Google', Communications of the ACM, 61(4), pp. 58-66. doi:10.1145/3188720. </w:t>
      </w:r>
      <w:hyperlink r:id="rId11" w:history="1">
        <w:r w:rsidRPr="00D25AED">
          <w:rPr>
            <w:rStyle w:val="Hyperlink"/>
            <w:rFonts w:asciiTheme="majorHAnsi" w:hAnsiTheme="majorHAnsi" w:cstheme="majorHAnsi"/>
            <w:sz w:val="18"/>
            <w:lang w:val="en-ZA"/>
          </w:rPr>
          <w:t>Google Scholar</w:t>
        </w:r>
      </w:hyperlink>
    </w:p>
    <w:p w14:paraId="5F4B38EC" w14:textId="77777777" w:rsidR="00456EE1" w:rsidRPr="00D25AED" w:rsidRDefault="00456EE1" w:rsidP="00456EE1">
      <w:pPr>
        <w:rPr>
          <w:rFonts w:asciiTheme="majorHAnsi" w:hAnsiTheme="majorHAnsi" w:cstheme="majorHAnsi"/>
          <w:sz w:val="18"/>
          <w:lang w:val="en-ZA"/>
        </w:rPr>
      </w:pPr>
      <w:r w:rsidRPr="00D25AED">
        <w:rPr>
          <w:rFonts w:asciiTheme="majorHAnsi" w:hAnsiTheme="majorHAnsi" w:cstheme="majorHAnsi"/>
          <w:sz w:val="18"/>
          <w:lang w:val="en-ZA"/>
        </w:rPr>
        <w:t xml:space="preserve">Saltzer, J.H. and Schroeder, M.D. (1975) 'The protection of information in computer systems', Proceedings of the IEEE, 63(9), pp. 1278-1308. doi:10.1109/PROC.1975.9939. </w:t>
      </w:r>
      <w:hyperlink r:id="rId12" w:history="1">
        <w:r w:rsidRPr="00D25AED">
          <w:rPr>
            <w:rStyle w:val="Hyperlink"/>
            <w:rFonts w:asciiTheme="majorHAnsi" w:hAnsiTheme="majorHAnsi" w:cstheme="majorHAnsi"/>
            <w:sz w:val="18"/>
            <w:lang w:val="en-ZA"/>
          </w:rPr>
          <w:t>Google Scholar</w:t>
        </w:r>
      </w:hyperlink>
    </w:p>
    <w:p w14:paraId="63D390D8" w14:textId="77777777" w:rsidR="00456EE1" w:rsidRPr="00D25AED" w:rsidRDefault="00456EE1" w:rsidP="00456EE1">
      <w:pPr>
        <w:rPr>
          <w:rFonts w:asciiTheme="majorHAnsi" w:hAnsiTheme="majorHAnsi" w:cstheme="majorHAnsi"/>
          <w:sz w:val="18"/>
          <w:lang w:val="en-ZA"/>
        </w:rPr>
      </w:pPr>
      <w:r w:rsidRPr="00D25AED">
        <w:rPr>
          <w:rFonts w:asciiTheme="majorHAnsi" w:hAnsiTheme="majorHAnsi" w:cstheme="majorHAnsi"/>
          <w:sz w:val="18"/>
          <w:lang w:val="en-ZA"/>
        </w:rPr>
        <w:t xml:space="preserve">Scandariato, R., Wuyts, K. and Joosen, W. (2015) 'A descriptive study of Microsoft's threat </w:t>
      </w:r>
      <w:proofErr w:type="spellStart"/>
      <w:r w:rsidRPr="00D25AED">
        <w:rPr>
          <w:rFonts w:asciiTheme="majorHAnsi" w:hAnsiTheme="majorHAnsi" w:cstheme="majorHAnsi"/>
          <w:sz w:val="18"/>
          <w:lang w:val="en-ZA"/>
        </w:rPr>
        <w:t>modeling</w:t>
      </w:r>
      <w:proofErr w:type="spellEnd"/>
      <w:r w:rsidRPr="00D25AED">
        <w:rPr>
          <w:rFonts w:asciiTheme="majorHAnsi" w:hAnsiTheme="majorHAnsi" w:cstheme="majorHAnsi"/>
          <w:sz w:val="18"/>
          <w:lang w:val="en-ZA"/>
        </w:rPr>
        <w:t xml:space="preserve"> technique', Requirements Engineering, 20, pp. 163-180. doi:10.1007/s00766-013-0195-2. </w:t>
      </w:r>
      <w:hyperlink r:id="rId13" w:history="1">
        <w:r w:rsidRPr="00D25AED">
          <w:rPr>
            <w:rStyle w:val="Hyperlink"/>
            <w:rFonts w:asciiTheme="majorHAnsi" w:hAnsiTheme="majorHAnsi" w:cstheme="majorHAnsi"/>
            <w:sz w:val="18"/>
            <w:lang w:val="en-ZA"/>
          </w:rPr>
          <w:t>Google Scholar</w:t>
        </w:r>
      </w:hyperlink>
    </w:p>
    <w:p w14:paraId="4668A9E0" w14:textId="77777777" w:rsidR="00456EE1" w:rsidRPr="00D25AED" w:rsidRDefault="00456EE1" w:rsidP="00456EE1">
      <w:pPr>
        <w:rPr>
          <w:rFonts w:asciiTheme="majorHAnsi" w:hAnsiTheme="majorHAnsi" w:cstheme="majorHAnsi"/>
          <w:sz w:val="18"/>
          <w:lang w:val="en-ZA"/>
        </w:rPr>
      </w:pPr>
      <w:proofErr w:type="spellStart"/>
      <w:r w:rsidRPr="00D25AED">
        <w:rPr>
          <w:rFonts w:asciiTheme="majorHAnsi" w:hAnsiTheme="majorHAnsi" w:cstheme="majorHAnsi"/>
          <w:sz w:val="18"/>
          <w:lang w:val="en-ZA"/>
        </w:rPr>
        <w:t>Souppaya</w:t>
      </w:r>
      <w:proofErr w:type="spellEnd"/>
      <w:r w:rsidRPr="00D25AED">
        <w:rPr>
          <w:rFonts w:asciiTheme="majorHAnsi" w:hAnsiTheme="majorHAnsi" w:cstheme="majorHAnsi"/>
          <w:sz w:val="18"/>
          <w:lang w:val="en-ZA"/>
        </w:rPr>
        <w:t xml:space="preserve">, M., Scarfone, K. and Dodson, D. (2022) Secure Software Development Framework (SSDF) Version 1.1. NIST Special Publication 800-218. doi:10.6028/NIST.SP.800-218. </w:t>
      </w:r>
      <w:hyperlink r:id="rId14" w:history="1">
        <w:r w:rsidRPr="00D25AED">
          <w:rPr>
            <w:rStyle w:val="Hyperlink"/>
            <w:rFonts w:asciiTheme="majorHAnsi" w:hAnsiTheme="majorHAnsi" w:cstheme="majorHAnsi"/>
            <w:sz w:val="18"/>
            <w:lang w:val="en-ZA"/>
          </w:rPr>
          <w:t>Google Scholar</w:t>
        </w:r>
      </w:hyperlink>
    </w:p>
    <w:p w14:paraId="3849D66F" w14:textId="77777777" w:rsidR="00456EE1" w:rsidRPr="00D25AED" w:rsidRDefault="00456EE1" w:rsidP="00456EE1">
      <w:pPr>
        <w:rPr>
          <w:rFonts w:asciiTheme="majorHAnsi" w:hAnsiTheme="majorHAnsi" w:cstheme="majorHAnsi"/>
          <w:sz w:val="18"/>
          <w:lang w:val="en-ZA"/>
        </w:rPr>
      </w:pPr>
      <w:proofErr w:type="spellStart"/>
      <w:r w:rsidRPr="00D25AED">
        <w:rPr>
          <w:rFonts w:asciiTheme="majorHAnsi" w:hAnsiTheme="majorHAnsi" w:cstheme="majorHAnsi"/>
          <w:sz w:val="18"/>
          <w:lang w:val="en-ZA"/>
        </w:rPr>
        <w:t>Temoshok</w:t>
      </w:r>
      <w:proofErr w:type="spellEnd"/>
      <w:r w:rsidRPr="00D25AED">
        <w:rPr>
          <w:rFonts w:asciiTheme="majorHAnsi" w:hAnsiTheme="majorHAnsi" w:cstheme="majorHAnsi"/>
          <w:sz w:val="18"/>
          <w:lang w:val="en-ZA"/>
        </w:rPr>
        <w:t xml:space="preserve">, D., Fenton, J.L., Choong, Y.Y., Lefkovitz, N., Regenscheid, A., Galluzzo, R. and Richer, J. (2025) Digital Identity Guidelines: Authentication and Authenticator Management. NIST Special Publication 800-63B-4. doi:10.6028/NIST.SP.800-63B-4. </w:t>
      </w:r>
      <w:hyperlink r:id="rId15" w:history="1">
        <w:r w:rsidRPr="00D25AED">
          <w:rPr>
            <w:rStyle w:val="Hyperlink"/>
            <w:rFonts w:asciiTheme="majorHAnsi" w:hAnsiTheme="majorHAnsi" w:cstheme="majorHAnsi"/>
            <w:sz w:val="18"/>
            <w:lang w:val="en-ZA"/>
          </w:rPr>
          <w:t>Google Scholar</w:t>
        </w:r>
      </w:hyperlink>
    </w:p>
    <w:p w14:paraId="21350E8D" w14:textId="77777777" w:rsidR="005924CC" w:rsidRPr="00D25AED" w:rsidRDefault="00E47F95">
      <w:pPr>
        <w:rPr>
          <w:rFonts w:asciiTheme="majorHAnsi" w:hAnsiTheme="majorHAnsi" w:cstheme="majorHAnsi"/>
        </w:rPr>
      </w:pPr>
      <w:r w:rsidRPr="00D25AED">
        <w:rPr>
          <w:rFonts w:asciiTheme="majorHAnsi" w:hAnsiTheme="majorHAnsi" w:cstheme="majorHAnsi"/>
        </w:rPr>
        <w:br w:type="page"/>
      </w:r>
    </w:p>
    <w:p w14:paraId="2DB1540C" w14:textId="7AB34D46" w:rsidR="0067518B" w:rsidRPr="00D25AED" w:rsidRDefault="00EC788F" w:rsidP="00EC788F">
      <w:pPr>
        <w:pStyle w:val="Heading1"/>
        <w:rPr>
          <w:rFonts w:cstheme="majorHAnsi"/>
        </w:rPr>
      </w:pPr>
      <w:r w:rsidRPr="00D25AED">
        <w:rPr>
          <w:rFonts w:cstheme="majorHAnsi"/>
        </w:rPr>
        <w:lastRenderedPageBreak/>
        <w:t>AI Research &amp; Verification Record</w:t>
      </w:r>
    </w:p>
    <w:p w14:paraId="52EA8666" w14:textId="77777777" w:rsidR="00EC788F" w:rsidRPr="00D25AED" w:rsidRDefault="00EC788F">
      <w:pPr>
        <w:rPr>
          <w:rFonts w:asciiTheme="majorHAnsi" w:hAnsiTheme="majorHAnsi" w:cstheme="majorHAnsi"/>
        </w:rPr>
      </w:pPr>
    </w:p>
    <w:tbl>
      <w:tblPr>
        <w:tblW w:w="0" w:type="auto"/>
        <w:jc w:val="center"/>
        <w:tblLayout w:type="fixed"/>
        <w:tblLook w:val="04A0" w:firstRow="1" w:lastRow="0" w:firstColumn="1" w:lastColumn="0" w:noHBand="0" w:noVBand="1"/>
      </w:tblPr>
      <w:tblGrid>
        <w:gridCol w:w="1152"/>
        <w:gridCol w:w="1656"/>
        <w:gridCol w:w="1584"/>
        <w:gridCol w:w="1152"/>
        <w:gridCol w:w="2520"/>
        <w:gridCol w:w="2520"/>
      </w:tblGrid>
      <w:tr w:rsidR="00EC788F" w:rsidRPr="00D25AED" w14:paraId="256CFC7B" w14:textId="77777777" w:rsidTr="00325D90">
        <w:trPr>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1F497D" w:themeFill="text2"/>
            <w:tcMar>
              <w:top w:w="90" w:type="dxa"/>
              <w:left w:w="70" w:type="dxa"/>
              <w:bottom w:w="90" w:type="dxa"/>
              <w:right w:w="70" w:type="dxa"/>
            </w:tcMar>
          </w:tcPr>
          <w:p w14:paraId="39AE6D51" w14:textId="77777777" w:rsidR="00EC788F" w:rsidRPr="00D25AED" w:rsidRDefault="00EC788F" w:rsidP="00325D90">
            <w:pPr>
              <w:jc w:val="center"/>
              <w:rPr>
                <w:rFonts w:asciiTheme="majorHAnsi" w:hAnsiTheme="majorHAnsi" w:cstheme="majorHAnsi"/>
              </w:rPr>
            </w:pPr>
            <w:r w:rsidRPr="00D25AED">
              <w:rPr>
                <w:rFonts w:asciiTheme="majorHAnsi" w:hAnsiTheme="majorHAnsi" w:cstheme="majorHAnsi"/>
                <w:b/>
                <w:color w:val="FFFFFF"/>
                <w:sz w:val="15"/>
              </w:rPr>
              <w:t>Team member</w:t>
            </w:r>
          </w:p>
        </w:tc>
        <w:tc>
          <w:tcPr>
            <w:tcW w:w="1656" w:type="dxa"/>
            <w:tcBorders>
              <w:top w:val="single" w:sz="6" w:space="0" w:color="D9D9D9"/>
              <w:left w:val="single" w:sz="6" w:space="0" w:color="D9D9D9"/>
              <w:bottom w:val="single" w:sz="6" w:space="0" w:color="D9D9D9"/>
              <w:right w:val="single" w:sz="6" w:space="0" w:color="D9D9D9"/>
            </w:tcBorders>
            <w:shd w:val="clear" w:color="auto" w:fill="1F497D" w:themeFill="text2"/>
            <w:tcMar>
              <w:top w:w="90" w:type="dxa"/>
              <w:left w:w="70" w:type="dxa"/>
              <w:bottom w:w="90" w:type="dxa"/>
              <w:right w:w="70" w:type="dxa"/>
            </w:tcMar>
          </w:tcPr>
          <w:p w14:paraId="73A48507" w14:textId="77777777" w:rsidR="00EC788F" w:rsidRPr="00D25AED" w:rsidRDefault="00EC788F" w:rsidP="00325D90">
            <w:pPr>
              <w:jc w:val="center"/>
              <w:rPr>
                <w:rFonts w:asciiTheme="majorHAnsi" w:hAnsiTheme="majorHAnsi" w:cstheme="majorHAnsi"/>
              </w:rPr>
            </w:pPr>
            <w:r w:rsidRPr="00D25AED">
              <w:rPr>
                <w:rFonts w:asciiTheme="majorHAnsi" w:hAnsiTheme="majorHAnsi" w:cstheme="majorHAnsi"/>
                <w:b/>
                <w:color w:val="FFFFFF"/>
                <w:sz w:val="15"/>
              </w:rPr>
              <w:t>AI tool and use</w:t>
            </w:r>
          </w:p>
        </w:tc>
        <w:tc>
          <w:tcPr>
            <w:tcW w:w="1584" w:type="dxa"/>
            <w:tcBorders>
              <w:top w:val="single" w:sz="6" w:space="0" w:color="D9D9D9"/>
              <w:left w:val="single" w:sz="6" w:space="0" w:color="D9D9D9"/>
              <w:bottom w:val="single" w:sz="6" w:space="0" w:color="D9D9D9"/>
              <w:right w:val="single" w:sz="6" w:space="0" w:color="D9D9D9"/>
            </w:tcBorders>
            <w:shd w:val="clear" w:color="auto" w:fill="1F497D" w:themeFill="text2"/>
            <w:tcMar>
              <w:top w:w="90" w:type="dxa"/>
              <w:left w:w="70" w:type="dxa"/>
              <w:bottom w:w="90" w:type="dxa"/>
              <w:right w:w="70" w:type="dxa"/>
            </w:tcMar>
          </w:tcPr>
          <w:p w14:paraId="09905E20" w14:textId="77777777" w:rsidR="00EC788F" w:rsidRPr="00D25AED" w:rsidRDefault="00EC788F" w:rsidP="00325D90">
            <w:pPr>
              <w:jc w:val="center"/>
              <w:rPr>
                <w:rFonts w:asciiTheme="majorHAnsi" w:hAnsiTheme="majorHAnsi" w:cstheme="majorHAnsi"/>
              </w:rPr>
            </w:pPr>
            <w:r w:rsidRPr="00D25AED">
              <w:rPr>
                <w:rFonts w:asciiTheme="majorHAnsi" w:hAnsiTheme="majorHAnsi" w:cstheme="majorHAnsi"/>
                <w:b/>
                <w:color w:val="FFFFFF"/>
                <w:sz w:val="15"/>
              </w:rPr>
              <w:t>Purpose</w:t>
            </w:r>
          </w:p>
        </w:tc>
        <w:tc>
          <w:tcPr>
            <w:tcW w:w="1152" w:type="dxa"/>
            <w:tcBorders>
              <w:top w:val="single" w:sz="6" w:space="0" w:color="D9D9D9"/>
              <w:left w:val="single" w:sz="6" w:space="0" w:color="D9D9D9"/>
              <w:bottom w:val="single" w:sz="6" w:space="0" w:color="D9D9D9"/>
              <w:right w:val="single" w:sz="6" w:space="0" w:color="D9D9D9"/>
            </w:tcBorders>
            <w:shd w:val="clear" w:color="auto" w:fill="1F497D" w:themeFill="text2"/>
            <w:tcMar>
              <w:top w:w="90" w:type="dxa"/>
              <w:left w:w="70" w:type="dxa"/>
              <w:bottom w:w="90" w:type="dxa"/>
              <w:right w:w="70" w:type="dxa"/>
            </w:tcMar>
          </w:tcPr>
          <w:p w14:paraId="0277996A" w14:textId="77777777" w:rsidR="00EC788F" w:rsidRPr="00D25AED" w:rsidRDefault="00EC788F" w:rsidP="00325D90">
            <w:pPr>
              <w:jc w:val="center"/>
              <w:rPr>
                <w:rFonts w:asciiTheme="majorHAnsi" w:hAnsiTheme="majorHAnsi" w:cstheme="majorHAnsi"/>
              </w:rPr>
            </w:pPr>
            <w:r w:rsidRPr="00D25AED">
              <w:rPr>
                <w:rFonts w:asciiTheme="majorHAnsi" w:hAnsiTheme="majorHAnsi" w:cstheme="majorHAnsi"/>
                <w:b/>
                <w:color w:val="FFFFFF"/>
                <w:sz w:val="15"/>
              </w:rPr>
              <w:t>Output used</w:t>
            </w:r>
          </w:p>
        </w:tc>
        <w:tc>
          <w:tcPr>
            <w:tcW w:w="2520" w:type="dxa"/>
            <w:tcBorders>
              <w:top w:val="single" w:sz="6" w:space="0" w:color="D9D9D9"/>
              <w:left w:val="single" w:sz="6" w:space="0" w:color="D9D9D9"/>
              <w:bottom w:val="single" w:sz="6" w:space="0" w:color="D9D9D9"/>
              <w:right w:val="single" w:sz="6" w:space="0" w:color="D9D9D9"/>
            </w:tcBorders>
            <w:shd w:val="clear" w:color="auto" w:fill="1F497D" w:themeFill="text2"/>
            <w:tcMar>
              <w:top w:w="90" w:type="dxa"/>
              <w:left w:w="70" w:type="dxa"/>
              <w:bottom w:w="90" w:type="dxa"/>
              <w:right w:w="70" w:type="dxa"/>
            </w:tcMar>
          </w:tcPr>
          <w:p w14:paraId="41453C4B" w14:textId="77777777" w:rsidR="00EC788F" w:rsidRPr="00D25AED" w:rsidRDefault="00EC788F" w:rsidP="00325D90">
            <w:pPr>
              <w:jc w:val="center"/>
              <w:rPr>
                <w:rFonts w:asciiTheme="majorHAnsi" w:hAnsiTheme="majorHAnsi" w:cstheme="majorHAnsi"/>
              </w:rPr>
            </w:pPr>
            <w:r w:rsidRPr="00D25AED">
              <w:rPr>
                <w:rFonts w:asciiTheme="majorHAnsi" w:hAnsiTheme="majorHAnsi" w:cstheme="majorHAnsi"/>
                <w:b/>
                <w:color w:val="FFFFFF"/>
                <w:sz w:val="15"/>
              </w:rPr>
              <w:t>How independently verified</w:t>
            </w:r>
          </w:p>
        </w:tc>
        <w:tc>
          <w:tcPr>
            <w:tcW w:w="2520" w:type="dxa"/>
            <w:tcBorders>
              <w:top w:val="single" w:sz="6" w:space="0" w:color="D9D9D9"/>
              <w:left w:val="single" w:sz="6" w:space="0" w:color="D9D9D9"/>
              <w:bottom w:val="single" w:sz="6" w:space="0" w:color="D9D9D9"/>
              <w:right w:val="single" w:sz="6" w:space="0" w:color="D9D9D9"/>
            </w:tcBorders>
            <w:shd w:val="clear" w:color="auto" w:fill="1F497D" w:themeFill="text2"/>
            <w:tcMar>
              <w:top w:w="90" w:type="dxa"/>
              <w:left w:w="70" w:type="dxa"/>
              <w:bottom w:w="90" w:type="dxa"/>
              <w:right w:w="70" w:type="dxa"/>
            </w:tcMar>
          </w:tcPr>
          <w:p w14:paraId="1826D959" w14:textId="77777777" w:rsidR="00EC788F" w:rsidRPr="00D25AED" w:rsidRDefault="00EC788F" w:rsidP="00325D90">
            <w:pPr>
              <w:jc w:val="center"/>
              <w:rPr>
                <w:rFonts w:asciiTheme="majorHAnsi" w:hAnsiTheme="majorHAnsi" w:cstheme="majorHAnsi"/>
              </w:rPr>
            </w:pPr>
            <w:r w:rsidRPr="00D25AED">
              <w:rPr>
                <w:rFonts w:asciiTheme="majorHAnsi" w:hAnsiTheme="majorHAnsi" w:cstheme="majorHAnsi"/>
                <w:b/>
                <w:color w:val="FFFFFF"/>
                <w:sz w:val="15"/>
              </w:rPr>
              <w:t>What was changed or rejected</w:t>
            </w:r>
          </w:p>
        </w:tc>
      </w:tr>
      <w:tr w:rsidR="00EC788F" w:rsidRPr="00D25AED" w14:paraId="2F5FD303" w14:textId="77777777" w:rsidTr="00325D90">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80" w:type="dxa"/>
              <w:left w:w="65" w:type="dxa"/>
              <w:bottom w:w="80" w:type="dxa"/>
              <w:right w:w="65" w:type="dxa"/>
            </w:tcMar>
            <w:vAlign w:val="center"/>
          </w:tcPr>
          <w:p w14:paraId="611EC9A8" w14:textId="77777777" w:rsidR="00EC788F" w:rsidRPr="00D25AED" w:rsidRDefault="00EC788F" w:rsidP="00325D90">
            <w:pPr>
              <w:spacing w:after="20" w:line="240" w:lineRule="auto"/>
              <w:rPr>
                <w:rFonts w:asciiTheme="majorHAnsi" w:hAnsiTheme="majorHAnsi" w:cstheme="majorHAnsi"/>
              </w:rPr>
            </w:pPr>
            <w:r w:rsidRPr="00D25AED">
              <w:rPr>
                <w:rFonts w:asciiTheme="majorHAnsi" w:hAnsiTheme="majorHAnsi" w:cstheme="majorHAnsi"/>
                <w:sz w:val="14"/>
              </w:rPr>
              <w:t>Tammy Fourie</w:t>
            </w:r>
          </w:p>
        </w:tc>
        <w:tc>
          <w:tcPr>
            <w:tcW w:w="1656" w:type="dxa"/>
            <w:tcBorders>
              <w:top w:val="single" w:sz="6" w:space="0" w:color="D9D9D9"/>
              <w:left w:val="single" w:sz="6" w:space="0" w:color="D9D9D9"/>
              <w:bottom w:val="single" w:sz="6" w:space="0" w:color="D9D9D9"/>
              <w:right w:val="single" w:sz="6" w:space="0" w:color="D9D9D9"/>
            </w:tcBorders>
            <w:tcMar>
              <w:top w:w="80" w:type="dxa"/>
              <w:left w:w="65" w:type="dxa"/>
              <w:bottom w:w="80" w:type="dxa"/>
              <w:right w:w="65" w:type="dxa"/>
            </w:tcMar>
            <w:vAlign w:val="center"/>
          </w:tcPr>
          <w:p w14:paraId="752B1D1A" w14:textId="77777777" w:rsidR="00EC788F" w:rsidRPr="00D25AED" w:rsidRDefault="00EC788F" w:rsidP="00325D90">
            <w:pPr>
              <w:spacing w:after="20" w:line="240" w:lineRule="auto"/>
              <w:rPr>
                <w:rFonts w:asciiTheme="majorHAnsi" w:hAnsiTheme="majorHAnsi" w:cstheme="majorHAnsi"/>
              </w:rPr>
            </w:pPr>
            <w:r w:rsidRPr="00D25AED">
              <w:rPr>
                <w:rFonts w:asciiTheme="majorHAnsi" w:hAnsiTheme="majorHAnsi" w:cstheme="majorHAnsi"/>
                <w:sz w:val="14"/>
              </w:rPr>
              <w:t>ChatGPT Work / research drafting support</w:t>
            </w:r>
          </w:p>
        </w:tc>
        <w:tc>
          <w:tcPr>
            <w:tcW w:w="1584" w:type="dxa"/>
            <w:tcBorders>
              <w:top w:val="single" w:sz="6" w:space="0" w:color="D9D9D9"/>
              <w:left w:val="single" w:sz="6" w:space="0" w:color="D9D9D9"/>
              <w:bottom w:val="single" w:sz="6" w:space="0" w:color="D9D9D9"/>
              <w:right w:val="single" w:sz="6" w:space="0" w:color="D9D9D9"/>
            </w:tcBorders>
            <w:tcMar>
              <w:top w:w="80" w:type="dxa"/>
              <w:left w:w="65" w:type="dxa"/>
              <w:bottom w:w="80" w:type="dxa"/>
              <w:right w:w="65" w:type="dxa"/>
            </w:tcMar>
            <w:vAlign w:val="center"/>
          </w:tcPr>
          <w:p w14:paraId="12085DF1" w14:textId="77777777" w:rsidR="00EC788F" w:rsidRPr="00D25AED" w:rsidRDefault="00EC788F" w:rsidP="00325D90">
            <w:pPr>
              <w:spacing w:after="20" w:line="240" w:lineRule="auto"/>
              <w:rPr>
                <w:rFonts w:asciiTheme="majorHAnsi" w:hAnsiTheme="majorHAnsi" w:cstheme="majorHAnsi"/>
              </w:rPr>
            </w:pPr>
            <w:r w:rsidRPr="00D25AED">
              <w:rPr>
                <w:rFonts w:asciiTheme="majorHAnsi" w:hAnsiTheme="majorHAnsi" w:cstheme="majorHAnsi"/>
                <w:sz w:val="14"/>
              </w:rPr>
              <w:t>Structure Q2, propose threat-control chains, identify candidate sources and draft prose.</w:t>
            </w:r>
          </w:p>
        </w:tc>
        <w:tc>
          <w:tcPr>
            <w:tcW w:w="1152" w:type="dxa"/>
            <w:tcBorders>
              <w:top w:val="single" w:sz="6" w:space="0" w:color="D9D9D9"/>
              <w:left w:val="single" w:sz="6" w:space="0" w:color="D9D9D9"/>
              <w:bottom w:val="single" w:sz="6" w:space="0" w:color="D9D9D9"/>
              <w:right w:val="single" w:sz="6" w:space="0" w:color="D9D9D9"/>
            </w:tcBorders>
            <w:tcMar>
              <w:top w:w="80" w:type="dxa"/>
              <w:left w:w="65" w:type="dxa"/>
              <w:bottom w:w="80" w:type="dxa"/>
              <w:right w:w="65" w:type="dxa"/>
            </w:tcMar>
            <w:vAlign w:val="center"/>
          </w:tcPr>
          <w:p w14:paraId="6608A4D0" w14:textId="77777777" w:rsidR="00EC788F" w:rsidRPr="00D25AED" w:rsidRDefault="00EC788F" w:rsidP="00325D90">
            <w:pPr>
              <w:spacing w:after="20" w:line="240" w:lineRule="auto"/>
              <w:rPr>
                <w:rFonts w:asciiTheme="majorHAnsi" w:hAnsiTheme="majorHAnsi" w:cstheme="majorHAnsi"/>
              </w:rPr>
            </w:pPr>
            <w:r w:rsidRPr="00D25AED">
              <w:rPr>
                <w:rFonts w:asciiTheme="majorHAnsi" w:hAnsiTheme="majorHAnsi" w:cstheme="majorHAnsi"/>
                <w:sz w:val="14"/>
              </w:rPr>
              <w:t>Yes, after review</w:t>
            </w:r>
          </w:p>
        </w:tc>
        <w:tc>
          <w:tcPr>
            <w:tcW w:w="2520" w:type="dxa"/>
            <w:tcBorders>
              <w:top w:val="single" w:sz="6" w:space="0" w:color="D9D9D9"/>
              <w:left w:val="single" w:sz="6" w:space="0" w:color="D9D9D9"/>
              <w:bottom w:val="single" w:sz="6" w:space="0" w:color="D9D9D9"/>
              <w:right w:val="single" w:sz="6" w:space="0" w:color="D9D9D9"/>
            </w:tcBorders>
            <w:tcMar>
              <w:top w:w="80" w:type="dxa"/>
              <w:left w:w="65" w:type="dxa"/>
              <w:bottom w:w="80" w:type="dxa"/>
              <w:right w:w="65" w:type="dxa"/>
            </w:tcMar>
            <w:vAlign w:val="center"/>
          </w:tcPr>
          <w:p w14:paraId="74A7BD97" w14:textId="77777777" w:rsidR="00EC788F" w:rsidRPr="00D25AED" w:rsidRDefault="00EC788F" w:rsidP="00325D90">
            <w:pPr>
              <w:spacing w:after="20" w:line="240" w:lineRule="auto"/>
              <w:rPr>
                <w:rFonts w:asciiTheme="majorHAnsi" w:hAnsiTheme="majorHAnsi" w:cstheme="majorHAnsi"/>
              </w:rPr>
            </w:pPr>
            <w:r w:rsidRPr="00D25AED">
              <w:rPr>
                <w:rFonts w:asciiTheme="majorHAnsi" w:hAnsiTheme="majorHAnsi" w:cstheme="majorHAnsi"/>
                <w:sz w:val="14"/>
              </w:rPr>
              <w:t>Checked the assignment rubric; opened the cited standards and publisher/conference records; located each reference through its Google Scholar link; compared technical claims with the cited source.</w:t>
            </w:r>
          </w:p>
        </w:tc>
        <w:tc>
          <w:tcPr>
            <w:tcW w:w="2520" w:type="dxa"/>
            <w:tcBorders>
              <w:top w:val="single" w:sz="6" w:space="0" w:color="D9D9D9"/>
              <w:left w:val="single" w:sz="6" w:space="0" w:color="D9D9D9"/>
              <w:bottom w:val="single" w:sz="6" w:space="0" w:color="D9D9D9"/>
              <w:right w:val="single" w:sz="6" w:space="0" w:color="D9D9D9"/>
            </w:tcBorders>
            <w:tcMar>
              <w:top w:w="80" w:type="dxa"/>
              <w:left w:w="65" w:type="dxa"/>
              <w:bottom w:w="80" w:type="dxa"/>
              <w:right w:w="65" w:type="dxa"/>
            </w:tcMar>
            <w:vAlign w:val="center"/>
          </w:tcPr>
          <w:p w14:paraId="622137A0" w14:textId="77777777" w:rsidR="00EC788F" w:rsidRPr="00D25AED" w:rsidRDefault="00EC788F" w:rsidP="00325D90">
            <w:pPr>
              <w:spacing w:after="20" w:line="240" w:lineRule="auto"/>
              <w:rPr>
                <w:rFonts w:asciiTheme="majorHAnsi" w:hAnsiTheme="majorHAnsi" w:cstheme="majorHAnsi"/>
              </w:rPr>
            </w:pPr>
            <w:r w:rsidRPr="00D25AED">
              <w:rPr>
                <w:rFonts w:asciiTheme="majorHAnsi" w:hAnsiTheme="majorHAnsi" w:cstheme="majorHAnsi"/>
                <w:sz w:val="14"/>
              </w:rPr>
              <w:t>Rephrased for the team voice; removed unsupported universal claims; retained residual-risk qualifications; verify all project-specific statements before submission.</w:t>
            </w:r>
          </w:p>
        </w:tc>
      </w:tr>
    </w:tbl>
    <w:p w14:paraId="5A5994CD" w14:textId="77777777" w:rsidR="00EC788F" w:rsidRPr="00D25AED" w:rsidRDefault="00EC788F">
      <w:pPr>
        <w:rPr>
          <w:rFonts w:asciiTheme="majorHAnsi" w:hAnsiTheme="majorHAnsi" w:cstheme="majorHAnsi"/>
        </w:rPr>
      </w:pPr>
    </w:p>
    <w:sectPr w:rsidR="00EC788F" w:rsidRPr="00D25AED" w:rsidSect="00034616">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5E37C" w14:textId="77777777" w:rsidR="00E1315A" w:rsidRDefault="00E1315A">
      <w:pPr>
        <w:spacing w:after="0" w:line="240" w:lineRule="auto"/>
      </w:pPr>
      <w:r>
        <w:separator/>
      </w:r>
    </w:p>
  </w:endnote>
  <w:endnote w:type="continuationSeparator" w:id="0">
    <w:p w14:paraId="3FB9CD08" w14:textId="77777777" w:rsidR="00E1315A" w:rsidRDefault="00E13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56059" w14:textId="77777777" w:rsidR="00E1315A" w:rsidRDefault="00E1315A">
      <w:pPr>
        <w:spacing w:after="0" w:line="240" w:lineRule="auto"/>
      </w:pPr>
      <w:r>
        <w:separator/>
      </w:r>
    </w:p>
  </w:footnote>
  <w:footnote w:type="continuationSeparator" w:id="0">
    <w:p w14:paraId="4A377DFF" w14:textId="77777777" w:rsidR="00E1315A" w:rsidRDefault="00E131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090680">
    <w:abstractNumId w:val="8"/>
  </w:num>
  <w:num w:numId="2" w16cid:durableId="1337224567">
    <w:abstractNumId w:val="6"/>
  </w:num>
  <w:num w:numId="3" w16cid:durableId="2073771142">
    <w:abstractNumId w:val="5"/>
  </w:num>
  <w:num w:numId="4" w16cid:durableId="517087771">
    <w:abstractNumId w:val="4"/>
  </w:num>
  <w:num w:numId="5" w16cid:durableId="1395742841">
    <w:abstractNumId w:val="7"/>
  </w:num>
  <w:num w:numId="6" w16cid:durableId="854658131">
    <w:abstractNumId w:val="3"/>
  </w:num>
  <w:num w:numId="7" w16cid:durableId="1075013075">
    <w:abstractNumId w:val="2"/>
  </w:num>
  <w:num w:numId="8" w16cid:durableId="1811359900">
    <w:abstractNumId w:val="1"/>
  </w:num>
  <w:num w:numId="9" w16cid:durableId="96995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BCE"/>
    <w:rsid w:val="00034616"/>
    <w:rsid w:val="0006063C"/>
    <w:rsid w:val="0015074B"/>
    <w:rsid w:val="00250527"/>
    <w:rsid w:val="0029639D"/>
    <w:rsid w:val="002D426D"/>
    <w:rsid w:val="00326F90"/>
    <w:rsid w:val="003546BC"/>
    <w:rsid w:val="00363622"/>
    <w:rsid w:val="00456EE1"/>
    <w:rsid w:val="005924CC"/>
    <w:rsid w:val="0067518B"/>
    <w:rsid w:val="007007FC"/>
    <w:rsid w:val="008E030C"/>
    <w:rsid w:val="00AA1D8D"/>
    <w:rsid w:val="00B47730"/>
    <w:rsid w:val="00CB0664"/>
    <w:rsid w:val="00CE6300"/>
    <w:rsid w:val="00D25AED"/>
    <w:rsid w:val="00E1315A"/>
    <w:rsid w:val="00E47F95"/>
    <w:rsid w:val="00EC788F"/>
    <w:rsid w:val="00F707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8F5492"/>
  <w14:defaultImageDpi w14:val="300"/>
  <w15:docId w15:val="{4CA46DA4-5C24-4EDF-A04F-0B7EAB09A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80"/>
      <w:ind w:left="403" w:hanging="403"/>
    </w:pPr>
    <w:rPr>
      <w:rFonts w:ascii="Aptos" w:hAnsi="Aptos"/>
      <w:sz w:val="18"/>
    </w:rPr>
  </w:style>
  <w:style w:type="character" w:styleId="Hyperlink">
    <w:name w:val="Hyperlink"/>
    <w:basedOn w:val="DefaultParagraphFont"/>
    <w:uiPriority w:val="99"/>
    <w:unhideWhenUsed/>
    <w:rsid w:val="00456EE1"/>
    <w:rPr>
      <w:color w:val="0000FF" w:themeColor="hyperlink"/>
      <w:u w:val="single"/>
    </w:rPr>
  </w:style>
  <w:style w:type="character" w:styleId="UnresolvedMention">
    <w:name w:val="Unresolved Mention"/>
    <w:basedOn w:val="DefaultParagraphFont"/>
    <w:uiPriority w:val="99"/>
    <w:semiHidden/>
    <w:unhideWhenUsed/>
    <w:rsid w:val="00456EE1"/>
    <w:rPr>
      <w:color w:val="605E5C"/>
      <w:shd w:val="clear" w:color="auto" w:fill="E1DFDD"/>
    </w:rPr>
  </w:style>
  <w:style w:type="character" w:styleId="FollowedHyperlink">
    <w:name w:val="FollowedHyperlink"/>
    <w:basedOn w:val="DefaultParagraphFont"/>
    <w:uiPriority w:val="99"/>
    <w:semiHidden/>
    <w:unhideWhenUsed/>
    <w:rsid w:val="00456EE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scholar?q=A+classification+of+SQL-injection+attacks+and+countermeasures" TargetMode="External"/><Relationship Id="rId13" Type="http://schemas.openxmlformats.org/officeDocument/2006/relationships/hyperlink" Target="https://scholar.google.com/scholar?q=A+descriptive+study+of+Microsoft%27s+threat+modeling+techniqu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holar.google.com/scholar?q=The+protection+of+information+in+computer+systems+Saltzer+Schroede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google.com/scholar?q=Lessons+from+building+static+analysis+tools+at+Google" TargetMode="External"/><Relationship Id="rId5" Type="http://schemas.openxmlformats.org/officeDocument/2006/relationships/webSettings" Target="webSettings.xml"/><Relationship Id="rId15" Type="http://schemas.openxmlformats.org/officeDocument/2006/relationships/hyperlink" Target="https://scholar.google.com/scholar?q=NIST+SP+800-63B-4+Authentication+Authenticator+Management" TargetMode="External"/><Relationship Id="rId10" Type="http://schemas.openxmlformats.org/officeDocument/2006/relationships/hyperlink" Target="https://scholar.google.com/scholar?q=Asleep+at+the+Keyboard+Assessing+the+Security+of+GitHub+Copilot%27s+Code+Contributions" TargetMode="External"/><Relationship Id="rId4" Type="http://schemas.openxmlformats.org/officeDocument/2006/relationships/settings" Target="settings.xml"/><Relationship Id="rId9" Type="http://schemas.openxmlformats.org/officeDocument/2006/relationships/hyperlink" Target="https://scholar.google.com/scholar?q=How+Bad+Can+It+Git+Characterizing+Secret+Leakage+in+Public+GitHub+Repositories" TargetMode="External"/><Relationship Id="rId14" Type="http://schemas.openxmlformats.org/officeDocument/2006/relationships/hyperlink" Target="https://scholar.google.com/scholar?q=NIST+SP+800-218+Secure+Software+Developmen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2706</Words>
  <Characters>15427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Question 2 Security Engineering and Threat Based Controls</vt:lpstr>
    </vt:vector>
  </TitlesOfParts>
  <Manager/>
  <Company/>
  <LinksUpToDate>false</LinksUpToDate>
  <CharactersWithSpaces>18097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 2 Security Engineering and Threat Based Controls</dc:title>
  <dc:subject>SEN381 Assignment 3 research brief section</dc:subject>
  <dc:creator>Student team</dc:creator>
  <cp:keywords/>
  <dc:description>generated by python-docx</dc:description>
  <cp:lastModifiedBy>Tammy Fourie</cp:lastModifiedBy>
  <cp:revision>4</cp:revision>
  <dcterms:created xsi:type="dcterms:W3CDTF">2026-09-22T13:46:00Z</dcterms:created>
  <dcterms:modified xsi:type="dcterms:W3CDTF">2026-09-27T16:45:00Z</dcterms:modified>
  <cp:category/>
</cp:coreProperties>
</file>