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B013" w14:textId="77777777" w:rsidR="00797020" w:rsidRPr="00AA3EE8" w:rsidRDefault="00797020" w:rsidP="00797020">
      <w:pPr>
        <w:pStyle w:val="Heading1"/>
        <w:rPr>
          <w:rFonts w:ascii="Times New Roman" w:eastAsiaTheme="minorEastAsia" w:hAnsi="Times New Roman" w:cs="Times New Roman"/>
          <w:sz w:val="24"/>
          <w:szCs w:val="24"/>
        </w:rPr>
      </w:pPr>
      <w:bookmarkStart w:id="0" w:name="_Toc240403864"/>
      <w:r w:rsidRPr="00AA3EE8">
        <w:rPr>
          <w:rFonts w:ascii="Times New Roman" w:hAnsi="Times New Roman" w:cs="Times New Roman"/>
        </w:rPr>
        <w:t>AI Usage Register</w:t>
      </w:r>
      <w:bookmarkEnd w:id="0"/>
    </w:p>
    <w:p w14:paraId="5A2A7E7A" w14:textId="77777777" w:rsidR="00797020" w:rsidRPr="00AA3EE8" w:rsidRDefault="00797020" w:rsidP="00797020">
      <w:pPr>
        <w:spacing w:line="276" w:lineRule="auto"/>
        <w:rPr>
          <w:rFonts w:ascii="Times New Roman" w:hAnsi="Times New Roman" w:cs="Times New Roman"/>
        </w:rPr>
      </w:pPr>
      <w:r w:rsidRPr="00AA3EE8">
        <w:rPr>
          <w:rFonts w:ascii="Times New Roman" w:eastAsia="Times New Roman" w:hAnsi="Times New Roman" w:cs="Times New Roman"/>
          <w:sz w:val="22"/>
          <w:szCs w:val="22"/>
        </w:rPr>
        <w:t>In the event if any team member has asked the assistance of AI to analyse, research, compare architecture, design, code, test, debug, review documentation and operational analysis, the following table underneath provide all the information that each AI usage must require. The following key points of the table will assist in completing each AI usage within the table:</w:t>
      </w:r>
    </w:p>
    <w:p w14:paraId="2B42E34A" w14:textId="77777777" w:rsidR="00797020" w:rsidRPr="00AA3EE8" w:rsidRDefault="00797020" w:rsidP="00797020">
      <w:pPr>
        <w:pStyle w:val="Heading2"/>
        <w:rPr>
          <w:rFonts w:ascii="Times New Roman" w:eastAsia="Times New Roman" w:hAnsi="Times New Roman" w:cs="Times New Roman"/>
        </w:rPr>
      </w:pPr>
      <w:bookmarkStart w:id="1" w:name="_Toc240403865"/>
      <w:r w:rsidRPr="00AA3EE8">
        <w:rPr>
          <w:rFonts w:ascii="Times New Roman" w:eastAsia="Times New Roman" w:hAnsi="Times New Roman" w:cs="Times New Roman"/>
        </w:rPr>
        <w:t>Features</w:t>
      </w:r>
      <w:bookmarkEnd w:id="1"/>
    </w:p>
    <w:p w14:paraId="401666F9" w14:textId="5C96E16A"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ID: This is the ID of an AI usage. The naming convention of AI IDs are “AI-001”.</w:t>
      </w:r>
    </w:p>
    <w:p w14:paraId="3679372C"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Team member: This is the full name of the team member who used AI.</w:t>
      </w:r>
    </w:p>
    <w:p w14:paraId="63466F38"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Date: This is the date on which the team member acquired the usage of AI. For conciseness, keep the date format such as “25/06/2026”.</w:t>
      </w:r>
    </w:p>
    <w:p w14:paraId="2025A830"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Tool: This is the tool that a team member used, in other words, name the AI tool. E.g. “Gemini”.</w:t>
      </w:r>
    </w:p>
    <w:p w14:paraId="5FB2020B"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Engineering Task: Team member must explain why they used the AI tool. How did it assist for the project?</w:t>
      </w:r>
    </w:p>
    <w:p w14:paraId="4B053A36"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AI contribution: Write down what the AI contributed for the engineering task. Do not copy and paste the actual response from AI, simply summarize what the AI contributed for the task.</w:t>
      </w:r>
    </w:p>
    <w:p w14:paraId="2296F7C5"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Verification: How did a team member check that the AI’s claim or assistance is correct? E.g. If a team member asked AI to guide research, verify the AI’s claim by seeing if the resources recommended has not been fabricated and exists on Google Scholar.</w:t>
      </w:r>
    </w:p>
    <w:p w14:paraId="14AC055B"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Decision: This is where a team member decides if they will accept the AI’s assistance or if they reject it. Simply write what was accepted, changed, or rejected from AI.</w:t>
      </w:r>
    </w:p>
    <w:p w14:paraId="776D07CA" w14:textId="586C0CF2" w:rsidR="00045F57" w:rsidRPr="00797020" w:rsidRDefault="00797020" w:rsidP="00797020">
      <w:pPr>
        <w:pStyle w:val="ListParagraph"/>
        <w:numPr>
          <w:ilvl w:val="0"/>
          <w:numId w:val="3"/>
        </w:numPr>
        <w:spacing w:after="0" w:line="276" w:lineRule="auto"/>
        <w:rPr>
          <w:rFonts w:ascii="Times New Roman" w:hAnsi="Times New Roman" w:cs="Times New Roman"/>
        </w:rPr>
      </w:pPr>
      <w:r w:rsidRPr="00AA3EE8">
        <w:rPr>
          <w:rFonts w:ascii="Times New Roman" w:eastAsia="Times New Roman" w:hAnsi="Times New Roman" w:cs="Times New Roman"/>
          <w:sz w:val="22"/>
          <w:szCs w:val="22"/>
        </w:rPr>
        <w:t>Issues Found: If AI did not contribute well and issues were found when a team member asked AI for assistance, write down what went wrong.</w:t>
      </w:r>
    </w:p>
    <w:tbl>
      <w:tblPr>
        <w:tblpPr w:leftFromText="180" w:rightFromText="180" w:bottomFromText="200" w:horzAnchor="margin" w:tblpXSpec="center" w:tblpY="-208"/>
        <w:tblW w:w="102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9"/>
        <w:gridCol w:w="1192"/>
        <w:gridCol w:w="592"/>
        <w:gridCol w:w="499"/>
        <w:gridCol w:w="1731"/>
        <w:gridCol w:w="1838"/>
        <w:gridCol w:w="1335"/>
        <w:gridCol w:w="1428"/>
        <w:gridCol w:w="1215"/>
      </w:tblGrid>
      <w:tr w:rsidR="006261B0" w:rsidRPr="006261B0" w14:paraId="7B381FAE" w14:textId="77777777" w:rsidTr="006261B0">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17365D"/>
            <w:hideMark/>
          </w:tcPr>
          <w:p w14:paraId="6933C72E"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lastRenderedPageBreak/>
              <w:t>ID</w:t>
            </w:r>
          </w:p>
        </w:tc>
        <w:tc>
          <w:tcPr>
            <w:tcW w:w="1192" w:type="dxa"/>
            <w:tcBorders>
              <w:top w:val="single" w:sz="6" w:space="0" w:color="auto"/>
              <w:left w:val="single" w:sz="6" w:space="0" w:color="auto"/>
              <w:bottom w:val="single" w:sz="6" w:space="0" w:color="auto"/>
              <w:right w:val="single" w:sz="6" w:space="0" w:color="auto"/>
            </w:tcBorders>
            <w:shd w:val="clear" w:color="auto" w:fill="17365D"/>
            <w:hideMark/>
          </w:tcPr>
          <w:p w14:paraId="026D31F1"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Team member</w:t>
            </w:r>
          </w:p>
        </w:tc>
        <w:tc>
          <w:tcPr>
            <w:tcW w:w="592" w:type="dxa"/>
            <w:tcBorders>
              <w:top w:val="single" w:sz="6" w:space="0" w:color="auto"/>
              <w:left w:val="single" w:sz="6" w:space="0" w:color="auto"/>
              <w:bottom w:val="single" w:sz="6" w:space="0" w:color="auto"/>
              <w:right w:val="single" w:sz="6" w:space="0" w:color="auto"/>
            </w:tcBorders>
            <w:shd w:val="clear" w:color="auto" w:fill="17365D"/>
            <w:hideMark/>
          </w:tcPr>
          <w:p w14:paraId="32219230"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Date</w:t>
            </w:r>
          </w:p>
        </w:tc>
        <w:tc>
          <w:tcPr>
            <w:tcW w:w="499" w:type="dxa"/>
            <w:tcBorders>
              <w:top w:val="single" w:sz="6" w:space="0" w:color="auto"/>
              <w:left w:val="single" w:sz="6" w:space="0" w:color="auto"/>
              <w:bottom w:val="single" w:sz="6" w:space="0" w:color="auto"/>
              <w:right w:val="single" w:sz="6" w:space="0" w:color="auto"/>
            </w:tcBorders>
            <w:shd w:val="clear" w:color="auto" w:fill="17365D"/>
            <w:hideMark/>
          </w:tcPr>
          <w:p w14:paraId="4CF218A6"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Tool</w:t>
            </w:r>
          </w:p>
        </w:tc>
        <w:tc>
          <w:tcPr>
            <w:tcW w:w="1731" w:type="dxa"/>
            <w:tcBorders>
              <w:top w:val="single" w:sz="6" w:space="0" w:color="auto"/>
              <w:left w:val="single" w:sz="6" w:space="0" w:color="auto"/>
              <w:bottom w:val="single" w:sz="6" w:space="0" w:color="auto"/>
              <w:right w:val="single" w:sz="6" w:space="0" w:color="auto"/>
            </w:tcBorders>
            <w:shd w:val="clear" w:color="auto" w:fill="17365D"/>
            <w:hideMark/>
          </w:tcPr>
          <w:p w14:paraId="7EA887A5"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Engineering task</w:t>
            </w:r>
          </w:p>
        </w:tc>
        <w:tc>
          <w:tcPr>
            <w:tcW w:w="1838" w:type="dxa"/>
            <w:tcBorders>
              <w:top w:val="single" w:sz="6" w:space="0" w:color="auto"/>
              <w:left w:val="single" w:sz="6" w:space="0" w:color="auto"/>
              <w:bottom w:val="single" w:sz="6" w:space="0" w:color="auto"/>
              <w:right w:val="single" w:sz="6" w:space="0" w:color="auto"/>
            </w:tcBorders>
            <w:shd w:val="clear" w:color="auto" w:fill="17365D"/>
            <w:hideMark/>
          </w:tcPr>
          <w:p w14:paraId="2268C200"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AI contribution</w:t>
            </w:r>
          </w:p>
        </w:tc>
        <w:tc>
          <w:tcPr>
            <w:tcW w:w="1335" w:type="dxa"/>
            <w:tcBorders>
              <w:top w:val="single" w:sz="6" w:space="0" w:color="auto"/>
              <w:left w:val="single" w:sz="6" w:space="0" w:color="auto"/>
              <w:bottom w:val="single" w:sz="6" w:space="0" w:color="auto"/>
              <w:right w:val="single" w:sz="6" w:space="0" w:color="auto"/>
            </w:tcBorders>
            <w:shd w:val="clear" w:color="auto" w:fill="17365D"/>
            <w:hideMark/>
          </w:tcPr>
          <w:p w14:paraId="27E7339F"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Verification</w:t>
            </w:r>
          </w:p>
        </w:tc>
        <w:tc>
          <w:tcPr>
            <w:tcW w:w="1428" w:type="dxa"/>
            <w:tcBorders>
              <w:top w:val="single" w:sz="6" w:space="0" w:color="auto"/>
              <w:left w:val="single" w:sz="6" w:space="0" w:color="auto"/>
              <w:bottom w:val="single" w:sz="6" w:space="0" w:color="auto"/>
              <w:right w:val="single" w:sz="6" w:space="0" w:color="auto"/>
            </w:tcBorders>
            <w:shd w:val="clear" w:color="auto" w:fill="17365D"/>
            <w:hideMark/>
          </w:tcPr>
          <w:p w14:paraId="6BB42863"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Decision</w:t>
            </w:r>
          </w:p>
        </w:tc>
        <w:tc>
          <w:tcPr>
            <w:tcW w:w="1215" w:type="dxa"/>
            <w:tcBorders>
              <w:top w:val="single" w:sz="6" w:space="0" w:color="auto"/>
              <w:left w:val="single" w:sz="6" w:space="0" w:color="auto"/>
              <w:bottom w:val="single" w:sz="6" w:space="0" w:color="auto"/>
              <w:right w:val="single" w:sz="6" w:space="0" w:color="auto"/>
            </w:tcBorders>
            <w:shd w:val="clear" w:color="auto" w:fill="17365D"/>
            <w:hideMark/>
          </w:tcPr>
          <w:p w14:paraId="797E3EB2"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Issues Found</w:t>
            </w:r>
          </w:p>
        </w:tc>
      </w:tr>
      <w:tr w:rsidR="006261B0" w:rsidRPr="006261B0" w14:paraId="04B88AB8"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3246181" w14:textId="0E7131DB"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001</w:t>
            </w:r>
          </w:p>
          <w:p w14:paraId="15BD5F1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CF6BFC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p w14:paraId="412883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4A4C540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04/09/2026 </w:t>
            </w:r>
          </w:p>
          <w:p w14:paraId="6D4152A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E0CF25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51BAB3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Edit initial commit of README to have a clear description </w:t>
            </w:r>
          </w:p>
          <w:p w14:paraId="0272D3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A38463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Create fresh main branch. Create initial commit with clear description.  Delete original main branch and rename fresh main to main. Force overwrites the new main to GitHub. </w:t>
            </w:r>
          </w:p>
          <w:p w14:paraId="2BEBA5F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0A4C00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Manually checked the repository and locally on machine, the README is there with a clear description other than “Initial commit”. </w:t>
            </w:r>
          </w:p>
          <w:p w14:paraId="20BE9C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B895FB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Entire suggestion was accepted and applied to fix commit. </w:t>
            </w:r>
          </w:p>
          <w:p w14:paraId="702A13C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944F00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43F6503E"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6AE7056" w14:textId="19842B1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002</w:t>
            </w:r>
          </w:p>
          <w:p w14:paraId="5D18759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E65419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p w14:paraId="5D90DAE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92A7C2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05/09/2026 </w:t>
            </w:r>
          </w:p>
          <w:p w14:paraId="0DE8B7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3E428C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52FD50E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Idea generation of proper ID naming conventions for AI usage. </w:t>
            </w:r>
          </w:p>
          <w:p w14:paraId="5B159C5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671C6B9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Suggested naming convention for IDs such as ai- “</w:t>
            </w:r>
            <w:proofErr w:type="spellStart"/>
            <w:r w:rsidRPr="006261B0">
              <w:rPr>
                <w:rFonts w:ascii="Times New Roman" w:eastAsia="MS Mincho" w:hAnsi="Times New Roman" w:cs="Times New Roman"/>
                <w:kern w:val="0"/>
                <w:sz w:val="12"/>
                <w:szCs w:val="12"/>
                <w:lang w:val="en-US"/>
                <w14:ligatures w14:val="none"/>
              </w:rPr>
              <w:t>pmpt</w:t>
            </w:r>
            <w:proofErr w:type="spellEnd"/>
            <w:r w:rsidRPr="006261B0">
              <w:rPr>
                <w:rFonts w:ascii="Times New Roman" w:eastAsia="MS Mincho" w:hAnsi="Times New Roman" w:cs="Times New Roman"/>
                <w:kern w:val="0"/>
                <w:sz w:val="12"/>
                <w:szCs w:val="12"/>
                <w:lang w:val="en-US"/>
                <w14:ligatures w14:val="none"/>
              </w:rPr>
              <w:t>” and “resp”. </w:t>
            </w:r>
          </w:p>
          <w:p w14:paraId="48581E2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77889A2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Visually checked the naming convention for ID and it is appropriate and concise. </w:t>
            </w:r>
          </w:p>
          <w:p w14:paraId="4E8E8C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DB2FB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naming convention but did not accept the word usage. Own words tailored to project was used such as DEBUG, RES, and REV. </w:t>
            </w:r>
          </w:p>
          <w:p w14:paraId="6655146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68FCC3F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7557657E"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5B7123E0" w14:textId="76683DB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003</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E7A41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33F52F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05/09/2026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F5DFCC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13B8647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Apply styling to GOVERNANCE.MD file.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23F23BB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applied styling to GOVERNANCE.MD file making it more appropriate and user friendly.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EE8935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File looks visually appealing. Content was not changed.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B6990F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entire change of styling.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BEAAF6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69183594"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4DD8EC8" w14:textId="6348005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004</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BB59C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8713B2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AF749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BB9165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links to the academic/standard/professional resources, not older than 2022, also make sure that it is free of cost and instantly readable.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69AD31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Systems &amp; Software Quality Standards </w:t>
            </w:r>
          </w:p>
          <w:p w14:paraId="4C9FBCE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ISO/IEC 25010 Software Quality Model is the title with link provided and AI explains what it is and why it helps for this research (Pacific Certifications, 2026).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271F4E6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Link is provided and access works, Pacific Certifications is a real company.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70E8BE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pdf, used it for usability, availability, portability, error prevention, and security for non-functional requirements.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0419B3E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gain access to specific resources that was suggested by my prompt. </w:t>
            </w:r>
          </w:p>
        </w:tc>
      </w:tr>
      <w:tr w:rsidR="006261B0" w:rsidRPr="006261B0" w14:paraId="64727421"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0CC6E97" w14:textId="74EF60B1"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005</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DBB926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FECB42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6C7956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1BC7A5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me academic/professional/standard resources from 2022 that is free that explicitly talks about their nonfunctional requirements in depth and is a similar system to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6AD823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proofErr w:type="spellStart"/>
            <w:r w:rsidRPr="006261B0">
              <w:rPr>
                <w:rFonts w:ascii="Times New Roman" w:eastAsia="MS Mincho" w:hAnsi="Times New Roman" w:cs="Times New Roman"/>
                <w:kern w:val="0"/>
                <w:sz w:val="12"/>
                <w:szCs w:val="12"/>
                <w:lang w:val="en-US"/>
                <w14:ligatures w14:val="none"/>
              </w:rPr>
              <w:t>OpenLMIS</w:t>
            </w:r>
            <w:proofErr w:type="spellEnd"/>
            <w:r w:rsidRPr="006261B0">
              <w:rPr>
                <w:rFonts w:ascii="Times New Roman" w:eastAsia="MS Mincho" w:hAnsi="Times New Roman" w:cs="Times New Roman"/>
                <w:kern w:val="0"/>
                <w:sz w:val="12"/>
                <w:szCs w:val="12"/>
                <w:lang w:val="en-US"/>
                <w14:ligatures w14:val="none"/>
              </w:rPr>
              <w:t> Technical Documentation — Non-Functional Requirements Specification, ISO/IEC 25010:2023 Product Quality Model &amp; Industry Standards, Open311 </w:t>
            </w:r>
            <w:proofErr w:type="spellStart"/>
            <w:r w:rsidRPr="006261B0">
              <w:rPr>
                <w:rFonts w:ascii="Times New Roman" w:eastAsia="MS Mincho" w:hAnsi="Times New Roman" w:cs="Times New Roman"/>
                <w:kern w:val="0"/>
                <w:sz w:val="12"/>
                <w:szCs w:val="12"/>
                <w:lang w:val="en-US"/>
                <w14:ligatures w14:val="none"/>
              </w:rPr>
              <w:t>GeoReport</w:t>
            </w:r>
            <w:proofErr w:type="spellEnd"/>
            <w:r w:rsidRPr="006261B0">
              <w:rPr>
                <w:rFonts w:ascii="Times New Roman" w:eastAsia="MS Mincho" w:hAnsi="Times New Roman" w:cs="Times New Roman"/>
                <w:kern w:val="0"/>
                <w:sz w:val="12"/>
                <w:szCs w:val="12"/>
                <w:lang w:val="en-US"/>
                <w14:ligatures w14:val="none"/>
              </w:rPr>
              <w:t> API Specification (Official Standard), OSDM Non-Functional Requirements Specification, and  Airports Company South Africa (ACSA) — Customer Relationship Management &amp; Service Request Solution Scope (October 2022).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9695D7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Link provided to ACSA CRM &amp; Service Request Solution Scope works, company exists.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A3242E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ACSA resource, especially the sum of all full functional rights that are customer query management, key account management, and employee query management. This had users of 100, 40 and 70 respectively and combined them to 210 concurrent users for non-functional requirements (Airport Company South Africa, n.d.).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53DF1C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resources that are close to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project that details non-functional requirements. </w:t>
            </w:r>
          </w:p>
        </w:tc>
      </w:tr>
      <w:tr w:rsidR="006261B0" w:rsidRPr="006261B0" w14:paraId="1C232379"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5DDFF6A" w14:textId="223AB21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006</w:t>
            </w: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09C4EC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0787679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09DB4E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D326F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a solid explanation of what is expected to write for the forward engineering consideration with regards to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project.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42DA451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Explained in depth what is a forward engineering consideration, what is required for why it matters now, what later activity may it influence, what information is still missing, and what is the risk of ignoring it.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4A98A22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a full breakdown of each element in the forward engineering consideration table.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C925BA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format on how to write and structure the answers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5D2340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understand what was expected to write for forward engineering consideration with AI, this solution helped. </w:t>
            </w:r>
          </w:p>
        </w:tc>
      </w:tr>
      <w:tr w:rsidR="006261B0" w:rsidRPr="006261B0" w14:paraId="36AFB756"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B14A982" w14:textId="4DA89861"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007</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B79DD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492E409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E71407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29C2097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5 valid resources that are free, professional/academic/standard and are not older than 2022. These 5 resources should be aligned with the 5 forward engineering considerations that our team chose such as native vs web, free tier development, database failover operation, scalability, and security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3F2E37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5 resources regarding the 5 forward engineering considerations that will help find evidence of risks of ignoring them.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680D2B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All 5 resources have valid DOIs, they are searchable in Google Scholar, authors are real, links to website for some of the resources are real companies.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C3809A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only 5 resources.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6CD807C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resources that provide evidence for risks and had to prompt AI to give proper resources. </w:t>
            </w:r>
          </w:p>
        </w:tc>
      </w:tr>
      <w:tr w:rsidR="006261B0" w:rsidRPr="006261B0" w14:paraId="6902686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E1927E6" w14:textId="5980237C"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008</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761C6B3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B4ABD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D67104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5E8B3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Prompted AI to explain where to find answers of evidence for each resource and explain why the native vs web app, free tier development, and database failover operation risks resources provide evidence.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B28428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proofErr w:type="spellStart"/>
            <w:r w:rsidRPr="006261B0">
              <w:rPr>
                <w:rFonts w:ascii="Times New Roman" w:eastAsia="MS Mincho" w:hAnsi="Times New Roman" w:cs="Times New Roman"/>
                <w:kern w:val="0"/>
                <w:sz w:val="12"/>
                <w:szCs w:val="12"/>
                <w:lang w:val="en-US"/>
                <w14:ligatures w14:val="none"/>
              </w:rPr>
              <w:t>Analysed</w:t>
            </w:r>
            <w:proofErr w:type="spellEnd"/>
            <w:r w:rsidRPr="006261B0">
              <w:rPr>
                <w:rFonts w:ascii="Times New Roman" w:eastAsia="MS Mincho" w:hAnsi="Times New Roman" w:cs="Times New Roman"/>
                <w:kern w:val="0"/>
                <w:sz w:val="12"/>
                <w:szCs w:val="12"/>
                <w:lang w:val="en-US"/>
                <w14:ligatures w14:val="none"/>
              </w:rPr>
              <w:t> the sections for each resource and show where to find answers. Also explained how they can help to provide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28DC12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Read through the resources and the summary of AI is aligned with what the actual resources say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337321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sections that has answers and used own words to explain the risks of ignoring the forward engineering considerations.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578A203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sections that can aid research in the documents. </w:t>
            </w:r>
          </w:p>
        </w:tc>
      </w:tr>
      <w:tr w:rsidR="006261B0" w:rsidRPr="006261B0" w14:paraId="75507B7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C6BCE0C" w14:textId="64BCEBA5"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009</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6ECC76A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proofErr w:type="spellStart"/>
            <w:r w:rsidRPr="006261B0">
              <w:rPr>
                <w:rFonts w:ascii="Times New Roman" w:eastAsia="MS Mincho" w:hAnsi="Times New Roman" w:cs="Times New Roman"/>
                <w:kern w:val="0"/>
                <w:sz w:val="12"/>
                <w:szCs w:val="12"/>
                <w:lang w:val="en-US"/>
                <w14:ligatures w14:val="none"/>
              </w:rPr>
              <w:t>Mohau</w:t>
            </w:r>
            <w:proofErr w:type="spellEnd"/>
            <w:r w:rsidRPr="006261B0">
              <w:rPr>
                <w:rFonts w:ascii="Times New Roman" w:eastAsia="MS Mincho" w:hAnsi="Times New Roman" w:cs="Times New Roman"/>
                <w:kern w:val="0"/>
                <w:sz w:val="12"/>
                <w:szCs w:val="12"/>
                <w:lang w:val="en-US"/>
                <w14:ligatures w14:val="none"/>
              </w:rPr>
              <w:t> Drew </w:t>
            </w:r>
            <w:proofErr w:type="spellStart"/>
            <w:r w:rsidRPr="006261B0">
              <w:rPr>
                <w:rFonts w:ascii="Times New Roman" w:eastAsia="MS Mincho" w:hAnsi="Times New Roman" w:cs="Times New Roman"/>
                <w:kern w:val="0"/>
                <w:sz w:val="12"/>
                <w:szCs w:val="12"/>
                <w:lang w:val="en-US"/>
                <w14:ligatures w14:val="none"/>
              </w:rPr>
              <w:t>Modiselle</w:t>
            </w:r>
            <w:proofErr w:type="spellEnd"/>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4F0CBC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14C61C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0F2D519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Structuring the Initial Risk Register and Engineering Decision Log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589FF8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Formatted project-specific risks and architectural decisions into Markdown tables containing all mandatory columns (Cause, Trade-offs,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0BFB0D2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Cross-referenced the generated table headers directly against Appendix A of the SEN381 Master Project Brief.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39340DC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table structure and incorporated the formatted matrices into the baseline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D021E4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71277E3B"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2B9D2666" w14:textId="3AA4330B"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010</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46D6EA4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proofErr w:type="spellStart"/>
            <w:r w:rsidRPr="006261B0">
              <w:rPr>
                <w:rFonts w:ascii="Times New Roman" w:eastAsia="MS Mincho" w:hAnsi="Times New Roman" w:cs="Times New Roman"/>
                <w:kern w:val="0"/>
                <w:sz w:val="12"/>
                <w:szCs w:val="12"/>
                <w:lang w:val="en-US"/>
                <w14:ligatures w14:val="none"/>
              </w:rPr>
              <w:t>Mohau</w:t>
            </w:r>
            <w:proofErr w:type="spellEnd"/>
            <w:r w:rsidRPr="006261B0">
              <w:rPr>
                <w:rFonts w:ascii="Times New Roman" w:eastAsia="MS Mincho" w:hAnsi="Times New Roman" w:cs="Times New Roman"/>
                <w:kern w:val="0"/>
                <w:sz w:val="12"/>
                <w:szCs w:val="12"/>
                <w:lang w:val="en-US"/>
                <w14:ligatures w14:val="none"/>
              </w:rPr>
              <w:t> Drew </w:t>
            </w:r>
            <w:proofErr w:type="spellStart"/>
            <w:r w:rsidRPr="006261B0">
              <w:rPr>
                <w:rFonts w:ascii="Times New Roman" w:eastAsia="MS Mincho" w:hAnsi="Times New Roman" w:cs="Times New Roman"/>
                <w:kern w:val="0"/>
                <w:sz w:val="12"/>
                <w:szCs w:val="12"/>
                <w:lang w:val="en-US"/>
                <w14:ligatures w14:val="none"/>
              </w:rPr>
              <w:t>Modiselle</w:t>
            </w:r>
            <w:proofErr w:type="spellEnd"/>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DE75E3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0175B4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B16463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Synthesizing academic literature to draft the Problem Statement and Business Value.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091142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Integrated specific academic authors (</w:t>
            </w:r>
            <w:proofErr w:type="spellStart"/>
            <w:r w:rsidRPr="006261B0">
              <w:rPr>
                <w:rFonts w:ascii="Times New Roman" w:eastAsia="MS Mincho" w:hAnsi="Times New Roman" w:cs="Times New Roman"/>
                <w:kern w:val="0"/>
                <w:sz w:val="12"/>
                <w:szCs w:val="12"/>
                <w:lang w:val="en-US"/>
                <w14:ligatures w14:val="none"/>
              </w:rPr>
              <w:t>Netshirando</w:t>
            </w:r>
            <w:proofErr w:type="spellEnd"/>
            <w:r w:rsidRPr="006261B0">
              <w:rPr>
                <w:rFonts w:ascii="Times New Roman" w:eastAsia="MS Mincho" w:hAnsi="Times New Roman" w:cs="Times New Roman"/>
                <w:kern w:val="0"/>
                <w:sz w:val="12"/>
                <w:szCs w:val="12"/>
                <w:lang w:val="en-US"/>
                <w14:ligatures w14:val="none"/>
              </w:rPr>
              <w:t> &amp; Ngoepe, Hofisi &amp; Chigova, Mashau) with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stakeholder requirements to demonstrate civic and commercial value.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48C0253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Verified that the text accurately reflected the provided authors and explicitly mapped to Requesters, Staff, and Management needs. Check source’s credibility.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0E61910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some of the synthesized text and appended the academic reference list to the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500529F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Not all sources were free, so I had to pick free sources only. </w:t>
            </w:r>
          </w:p>
        </w:tc>
      </w:tr>
      <w:tr w:rsidR="006261B0" w:rsidRPr="006261B0" w14:paraId="721F64B6"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322A2A9" w14:textId="019A2302"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011</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C6DF5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2741F4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BE0792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D9493E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and refine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stakeholder analysis for Milestone 1.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7FACA6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xml:space="preserve">AI was used to review the clarity and structure of the stakeholder analysis and to identify areas where stakeholder needs, influence, interest and competing </w:t>
            </w:r>
            <w:r w:rsidRPr="006261B0">
              <w:rPr>
                <w:rFonts w:ascii="Times New Roman" w:eastAsia="MS Mincho" w:hAnsi="Times New Roman" w:cs="Times New Roman"/>
                <w:kern w:val="0"/>
                <w:sz w:val="12"/>
                <w:szCs w:val="12"/>
                <w:lang w:val="en-US"/>
                <w14:ligatures w14:val="none"/>
              </w:rPr>
              <w:lastRenderedPageBreak/>
              <w:t>expectations required clearer explanation.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B32AD5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I compared the recommendations with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xml:space="preserve"> scenario and the stakeholder-analysis expectations in the </w:t>
            </w:r>
            <w:r w:rsidRPr="006261B0">
              <w:rPr>
                <w:rFonts w:ascii="Times New Roman" w:eastAsia="MS Mincho" w:hAnsi="Times New Roman" w:cs="Times New Roman"/>
                <w:kern w:val="0"/>
                <w:sz w:val="12"/>
                <w:szCs w:val="12"/>
                <w:lang w:val="en-US"/>
                <w14:ligatures w14:val="none"/>
              </w:rPr>
              <w:lastRenderedPageBreak/>
              <w:t>Master Project Brief and Milestone 1 brief. I confirmed that each retained point was relevant to an identified stakeholder and supported by the project context.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22302AF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 xml:space="preserve">I retained the stakeholder identification and analysis I had developed, accepted selected wording and structural improvements, and </w:t>
            </w:r>
            <w:r w:rsidRPr="006261B0">
              <w:rPr>
                <w:rFonts w:ascii="Times New Roman" w:eastAsia="MS Mincho" w:hAnsi="Times New Roman" w:cs="Times New Roman"/>
                <w:kern w:val="0"/>
                <w:sz w:val="12"/>
                <w:szCs w:val="12"/>
                <w:lang w:val="en-US"/>
                <w14:ligatures w14:val="none"/>
              </w:rPr>
              <w:lastRenderedPageBreak/>
              <w:t>rewrote the final content in my own words.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2CEBEE3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None </w:t>
            </w:r>
          </w:p>
        </w:tc>
      </w:tr>
      <w:tr w:rsidR="006261B0" w:rsidRPr="006261B0" w14:paraId="3731CE9C"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967900E" w14:textId="7202784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012</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550E3F5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EA055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 </w:t>
            </w:r>
          </w:p>
          <w:p w14:paraId="080F373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4AC5A87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1BDDEB7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project constraints and their engineering implications. </w:t>
            </w:r>
          </w:p>
          <w:p w14:paraId="2B9F6AE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DD519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assisted in checking whether the analysis addressed the required scope, schedule, cost and resources, quality, and security constraints. It also suggested areas where the interactions and possible ripple effects between constraints could be explained more clearly. </w:t>
            </w:r>
          </w:p>
          <w:p w14:paraId="1352618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5A74BD2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checked every proposed interaction against the constraints stated in the Master Project Brief. I reviewed whether the consequences were realistic for a three-person team working across four milestones and removed or revised unsupported statements. </w:t>
            </w:r>
          </w:p>
          <w:p w14:paraId="4B8A639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171B04C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accepted selected suggestions that clarified valid constraint interactions. I determined the final implications and controls based on the project brief and the team’s actual circumstances.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0292076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3EF999B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CCFFD43" w14:textId="6147B88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013</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22339B8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0E1652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 </w:t>
            </w:r>
          </w:p>
          <w:p w14:paraId="51F15E7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3C2771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p w14:paraId="465E8D9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46B699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and refine the </w:t>
            </w:r>
            <w:proofErr w:type="spellStart"/>
            <w:r w:rsidRPr="006261B0">
              <w:rPr>
                <w:rFonts w:ascii="Times New Roman" w:eastAsia="MS Mincho" w:hAnsi="Times New Roman" w:cs="Times New Roman"/>
                <w:kern w:val="0"/>
                <w:sz w:val="12"/>
                <w:szCs w:val="12"/>
                <w:lang w:val="en-US"/>
                <w14:ligatures w14:val="none"/>
              </w:rPr>
              <w:t>CivicConnect</w:t>
            </w:r>
            <w:proofErr w:type="spellEnd"/>
            <w:r w:rsidRPr="006261B0">
              <w:rPr>
                <w:rFonts w:ascii="Times New Roman" w:eastAsia="MS Mincho" w:hAnsi="Times New Roman" w:cs="Times New Roman"/>
                <w:kern w:val="0"/>
                <w:sz w:val="12"/>
                <w:szCs w:val="12"/>
                <w:lang w:val="en-US"/>
                <w14:ligatures w14:val="none"/>
              </w:rPr>
              <w:t> Scope Baseline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7BFCB5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was used to compare the draft with the Master Project Brief and Milestone 1 expectations. It helped identify unclear boundaries and suggested wording for the in-scope, out-of-scope and deferred items, the deliberate exclusion </w:t>
            </w:r>
            <w:proofErr w:type="spellStart"/>
            <w:r w:rsidRPr="006261B0">
              <w:rPr>
                <w:rFonts w:ascii="Times New Roman" w:eastAsia="MS Mincho" w:hAnsi="Times New Roman" w:cs="Times New Roman"/>
                <w:kern w:val="0"/>
                <w:sz w:val="12"/>
                <w:szCs w:val="12"/>
                <w:lang w:val="en-US"/>
                <w14:ligatures w14:val="none"/>
              </w:rPr>
              <w:t>defence</w:t>
            </w:r>
            <w:proofErr w:type="spellEnd"/>
            <w:r w:rsidRPr="006261B0">
              <w:rPr>
                <w:rFonts w:ascii="Times New Roman" w:eastAsia="MS Mincho" w:hAnsi="Times New Roman" w:cs="Times New Roman"/>
                <w:kern w:val="0"/>
                <w:sz w:val="12"/>
                <w:szCs w:val="12"/>
                <w:lang w:val="en-US"/>
                <w14:ligatures w14:val="none"/>
              </w:rPr>
              <w:t>, and scope-control statement.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3E85C2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manually checked every scope item against the minimum business capabilities in the Master Project Brief. I confirmed that the revised scope did not introduce a final architecture or technology-stack decision and that excluded or deferred items were not presented as committed requirements.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4247A6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retained the scope decisions made by the team, accepted selected clarity and formatting improvements, and revised the final wording myself. I also confirmed that any future additions would require formal change control.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367844F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4AC4758D"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88A8B86" w14:textId="09B42C9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014</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4617543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0805C4B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6057EC4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280F62A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Asked for assistance on how to set up two-reviewer settings on GitHub.</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7148E0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instructions on how to set up two reviewer model.</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3DBAEC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Manually checked and it does ensure that no push allow for pull request unless two people reviewed and approved it.</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DCC16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all feedback and incorporated into GitHub repository settings.</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4975E44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w:t>
            </w:r>
          </w:p>
        </w:tc>
      </w:tr>
      <w:tr w:rsidR="006261B0" w:rsidRPr="006261B0" w14:paraId="13EEC923"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DDE8DAB" w14:textId="57D42FF0"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015</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DEDC51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75AEF9D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54B2A76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4CE255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Asked for assistance in providing a solid-proof template for a Team Working Agreement template.</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537C4B0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a template for the Team Working Agreement.</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6257617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Visually checked and contains all necessary information such as roles, team members, agreements, and signatures.</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D434A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entire template</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298FFD2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w:t>
            </w:r>
          </w:p>
        </w:tc>
      </w:tr>
      <w:tr w:rsidR="00E05FBB" w:rsidRPr="006261B0" w14:paraId="680CDA31"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tcPr>
          <w:p w14:paraId="41791A34" w14:textId="69FE9194"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AI-016</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5DEF1754" w14:textId="1F576B26"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tcPr>
          <w:p w14:paraId="385ED492" w14:textId="046514C6"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14/09/2026</w:t>
            </w:r>
          </w:p>
        </w:tc>
        <w:tc>
          <w:tcPr>
            <w:tcW w:w="499" w:type="dxa"/>
            <w:tcBorders>
              <w:top w:val="single" w:sz="6" w:space="0" w:color="auto"/>
              <w:left w:val="single" w:sz="6" w:space="0" w:color="auto"/>
              <w:bottom w:val="single" w:sz="6" w:space="0" w:color="auto"/>
              <w:right w:val="single" w:sz="6" w:space="0" w:color="auto"/>
            </w:tcBorders>
            <w:shd w:val="clear" w:color="auto" w:fill="FFFFFF"/>
          </w:tcPr>
          <w:p w14:paraId="290DC3D3" w14:textId="088A06F7"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Claude</w:t>
            </w:r>
          </w:p>
        </w:tc>
        <w:tc>
          <w:tcPr>
            <w:tcW w:w="1731" w:type="dxa"/>
            <w:tcBorders>
              <w:top w:val="single" w:sz="6" w:space="0" w:color="auto"/>
              <w:left w:val="single" w:sz="6" w:space="0" w:color="auto"/>
              <w:bottom w:val="single" w:sz="6" w:space="0" w:color="auto"/>
              <w:right w:val="single" w:sz="6" w:space="0" w:color="auto"/>
            </w:tcBorders>
            <w:shd w:val="clear" w:color="auto" w:fill="FFFFFF"/>
          </w:tcPr>
          <w:p w14:paraId="101E46E1" w14:textId="2EF86F61"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Asked for generating code on how to set up the PostgreSQL database connection to the initial front-end and back-end</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7491D551" w14:textId="49F93322"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Provided database connection code and fixes and missing implementations in the backend.</w:t>
            </w:r>
          </w:p>
        </w:tc>
        <w:tc>
          <w:tcPr>
            <w:tcW w:w="1335" w:type="dxa"/>
            <w:tcBorders>
              <w:top w:val="single" w:sz="6" w:space="0" w:color="auto"/>
              <w:left w:val="single" w:sz="6" w:space="0" w:color="auto"/>
              <w:bottom w:val="single" w:sz="6" w:space="0" w:color="auto"/>
              <w:right w:val="single" w:sz="6" w:space="0" w:color="auto"/>
            </w:tcBorders>
            <w:shd w:val="clear" w:color="auto" w:fill="FFFFFF"/>
          </w:tcPr>
          <w:p w14:paraId="19B16B61" w14:textId="2C763BCC"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 xml:space="preserve">Despite the </w:t>
            </w:r>
            <w:r w:rsidR="007B65A3">
              <w:rPr>
                <w:rFonts w:ascii="Times New Roman" w:eastAsia="MS Mincho" w:hAnsi="Times New Roman" w:cs="Times New Roman"/>
                <w:kern w:val="0"/>
                <w:sz w:val="12"/>
                <w:szCs w:val="12"/>
                <w:lang w:val="en-US"/>
                <w14:ligatures w14:val="none"/>
              </w:rPr>
              <w:t>website that works, there must still be testing, verification, and changes done to ensure it is aligned with the project.</w:t>
            </w:r>
          </w:p>
        </w:tc>
        <w:tc>
          <w:tcPr>
            <w:tcW w:w="1428" w:type="dxa"/>
            <w:tcBorders>
              <w:top w:val="single" w:sz="6" w:space="0" w:color="auto"/>
              <w:left w:val="single" w:sz="6" w:space="0" w:color="auto"/>
              <w:bottom w:val="single" w:sz="6" w:space="0" w:color="auto"/>
              <w:right w:val="single" w:sz="6" w:space="0" w:color="auto"/>
            </w:tcBorders>
            <w:shd w:val="clear" w:color="auto" w:fill="FFFFFF"/>
          </w:tcPr>
          <w:p w14:paraId="467131E5" w14:textId="2ECDB023" w:rsidR="00E05FBB" w:rsidRPr="006261B0" w:rsidRDefault="007B65A3"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Make changes to the code and website structure given by AI as milestone 2 progress but do not accept all work without verification.</w:t>
            </w:r>
          </w:p>
        </w:tc>
        <w:tc>
          <w:tcPr>
            <w:tcW w:w="1215" w:type="dxa"/>
            <w:tcBorders>
              <w:top w:val="single" w:sz="6" w:space="0" w:color="auto"/>
              <w:left w:val="single" w:sz="6" w:space="0" w:color="auto"/>
              <w:bottom w:val="single" w:sz="6" w:space="0" w:color="auto"/>
              <w:right w:val="single" w:sz="6" w:space="0" w:color="auto"/>
            </w:tcBorders>
            <w:shd w:val="clear" w:color="auto" w:fill="FFFFFF"/>
          </w:tcPr>
          <w:p w14:paraId="7F93E6DE" w14:textId="4A09E67C" w:rsidR="00E05FBB" w:rsidRPr="006261B0" w:rsidRDefault="007B65A3"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None</w:t>
            </w:r>
          </w:p>
        </w:tc>
      </w:tr>
      <w:tr w:rsidR="007506F2" w:rsidRPr="006261B0" w14:paraId="68A1DECE"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tcPr>
          <w:p w14:paraId="6415AD41" w14:textId="26C65AD8"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AI-017</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2EA474CD" w14:textId="6606CD17"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Tammy Fourie</w:t>
            </w:r>
          </w:p>
        </w:tc>
        <w:tc>
          <w:tcPr>
            <w:tcW w:w="592" w:type="dxa"/>
            <w:tcBorders>
              <w:top w:val="single" w:sz="6" w:space="0" w:color="auto"/>
              <w:left w:val="single" w:sz="6" w:space="0" w:color="auto"/>
              <w:bottom w:val="single" w:sz="6" w:space="0" w:color="auto"/>
              <w:right w:val="single" w:sz="6" w:space="0" w:color="auto"/>
            </w:tcBorders>
            <w:shd w:val="clear" w:color="auto" w:fill="FFFFFF"/>
          </w:tcPr>
          <w:p w14:paraId="76219C4F" w14:textId="648002E7"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12/09/2026</w:t>
            </w:r>
          </w:p>
        </w:tc>
        <w:tc>
          <w:tcPr>
            <w:tcW w:w="499" w:type="dxa"/>
            <w:tcBorders>
              <w:top w:val="single" w:sz="6" w:space="0" w:color="auto"/>
              <w:left w:val="single" w:sz="6" w:space="0" w:color="auto"/>
              <w:bottom w:val="single" w:sz="6" w:space="0" w:color="auto"/>
              <w:right w:val="single" w:sz="6" w:space="0" w:color="auto"/>
            </w:tcBorders>
            <w:shd w:val="clear" w:color="auto" w:fill="FFFFFF"/>
          </w:tcPr>
          <w:p w14:paraId="0276799D" w14:textId="0E3E818C"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Claude</w:t>
            </w:r>
          </w:p>
        </w:tc>
        <w:tc>
          <w:tcPr>
            <w:tcW w:w="1731" w:type="dxa"/>
            <w:tcBorders>
              <w:top w:val="single" w:sz="6" w:space="0" w:color="auto"/>
              <w:left w:val="single" w:sz="6" w:space="0" w:color="auto"/>
              <w:bottom w:val="single" w:sz="6" w:space="0" w:color="auto"/>
              <w:right w:val="single" w:sz="6" w:space="0" w:color="auto"/>
            </w:tcBorders>
            <w:shd w:val="clear" w:color="auto" w:fill="FFFFFF"/>
          </w:tcPr>
          <w:p w14:paraId="162439B4" w14:textId="28796BD3"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Frontend development and interface implementation</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06C674AE" w14:textId="7DC0C606"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sidRPr="007506F2">
              <w:rPr>
                <w:rFonts w:ascii="Times New Roman" w:eastAsia="MS Mincho" w:hAnsi="Times New Roman" w:cs="Times New Roman"/>
                <w:kern w:val="0"/>
                <w:sz w:val="12"/>
                <w:szCs w:val="12"/>
                <w14:ligatures w14:val="none"/>
              </w:rPr>
              <w:t>Claude was used to assist with generating an initial implementation of the frontend. The generated code served as a starting point and was reviewed and evaluated before being incorporated into the project.</w:t>
            </w:r>
          </w:p>
        </w:tc>
        <w:tc>
          <w:tcPr>
            <w:tcW w:w="1335" w:type="dxa"/>
            <w:tcBorders>
              <w:top w:val="single" w:sz="6" w:space="0" w:color="auto"/>
              <w:left w:val="single" w:sz="6" w:space="0" w:color="auto"/>
              <w:bottom w:val="single" w:sz="6" w:space="0" w:color="auto"/>
              <w:right w:val="single" w:sz="6" w:space="0" w:color="auto"/>
            </w:tcBorders>
            <w:shd w:val="clear" w:color="auto" w:fill="FFFFFF"/>
          </w:tcPr>
          <w:p w14:paraId="0676E9DE" w14:textId="6670E679"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sidRPr="007506F2">
              <w:rPr>
                <w:rFonts w:ascii="Times New Roman" w:eastAsia="MS Mincho" w:hAnsi="Times New Roman" w:cs="Times New Roman"/>
                <w:kern w:val="0"/>
                <w:sz w:val="12"/>
                <w:szCs w:val="12"/>
                <w14:ligatures w14:val="none"/>
              </w:rPr>
              <w:t>The frontend was manually reviewed and tested to confirm that the implemented functionality operates as expected and aligns with the relevant rubric requirements. The generated code was also inspected to identify areas requiring refinement or modification.</w:t>
            </w:r>
          </w:p>
        </w:tc>
        <w:tc>
          <w:tcPr>
            <w:tcW w:w="1428" w:type="dxa"/>
            <w:tcBorders>
              <w:top w:val="single" w:sz="6" w:space="0" w:color="auto"/>
              <w:left w:val="single" w:sz="6" w:space="0" w:color="auto"/>
              <w:bottom w:val="single" w:sz="6" w:space="0" w:color="auto"/>
              <w:right w:val="single" w:sz="6" w:space="0" w:color="auto"/>
            </w:tcBorders>
            <w:shd w:val="clear" w:color="auto" w:fill="FFFFFF"/>
          </w:tcPr>
          <w:p w14:paraId="1AF69509" w14:textId="3E2843A6"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sidRPr="007506F2">
              <w:rPr>
                <w:rFonts w:ascii="Times New Roman" w:eastAsia="MS Mincho" w:hAnsi="Times New Roman" w:cs="Times New Roman"/>
                <w:kern w:val="0"/>
                <w:sz w:val="12"/>
                <w:szCs w:val="12"/>
                <w14:ligatures w14:val="none"/>
              </w:rPr>
              <w:t>Partially accepted. The implementation provides a suitable foundation and meets the current functional requirements, but it has not been accepted as the final version. Further manual changes, refinements, and integration work will still be completed by the team.</w:t>
            </w:r>
          </w:p>
        </w:tc>
        <w:tc>
          <w:tcPr>
            <w:tcW w:w="1215" w:type="dxa"/>
            <w:tcBorders>
              <w:top w:val="single" w:sz="6" w:space="0" w:color="auto"/>
              <w:left w:val="single" w:sz="6" w:space="0" w:color="auto"/>
              <w:bottom w:val="single" w:sz="6" w:space="0" w:color="auto"/>
              <w:right w:val="single" w:sz="6" w:space="0" w:color="auto"/>
            </w:tcBorders>
            <w:shd w:val="clear" w:color="auto" w:fill="FFFFFF"/>
          </w:tcPr>
          <w:p w14:paraId="00C03445" w14:textId="277C2450" w:rsidR="007506F2" w:rsidRDefault="007506F2" w:rsidP="006261B0">
            <w:pPr>
              <w:spacing w:after="120" w:line="264" w:lineRule="auto"/>
              <w:rPr>
                <w:rFonts w:ascii="Times New Roman" w:eastAsia="MS Mincho" w:hAnsi="Times New Roman" w:cs="Times New Roman"/>
                <w:kern w:val="0"/>
                <w:sz w:val="12"/>
                <w:szCs w:val="12"/>
                <w:lang w:val="en-US"/>
                <w14:ligatures w14:val="none"/>
              </w:rPr>
            </w:pPr>
            <w:r w:rsidRPr="007506F2">
              <w:rPr>
                <w:rFonts w:ascii="Times New Roman" w:eastAsia="MS Mincho" w:hAnsi="Times New Roman" w:cs="Times New Roman"/>
                <w:kern w:val="0"/>
                <w:sz w:val="12"/>
                <w:szCs w:val="12"/>
                <w14:ligatures w14:val="none"/>
              </w:rPr>
              <w:t>Some areas still require refinement, including code cleanup, interface improvements, consistency with the wider application, and any adjustments identified during continued testing and integration.</w:t>
            </w:r>
          </w:p>
        </w:tc>
      </w:tr>
    </w:tbl>
    <w:p w14:paraId="4A67DFCE" w14:textId="5C3C4D8E" w:rsidR="00502F22" w:rsidRPr="00DB5BB4" w:rsidRDefault="00502F22">
      <w:pPr>
        <w:rPr>
          <w:rFonts w:ascii="Times New Roman" w:hAnsi="Times New Roman" w:cs="Times New Roman"/>
        </w:rPr>
      </w:pPr>
    </w:p>
    <w:p w14:paraId="10782511" w14:textId="77777777" w:rsidR="00502F22" w:rsidRPr="00DB5BB4" w:rsidRDefault="00502F22">
      <w:pPr>
        <w:rPr>
          <w:rFonts w:ascii="Times New Roman" w:hAnsi="Times New Roman" w:cs="Times New Roman"/>
        </w:rPr>
      </w:pPr>
      <w:r w:rsidRPr="00DB5BB4">
        <w:rPr>
          <w:rFonts w:ascii="Times New Roman" w:hAnsi="Times New Roman" w:cs="Times New Roman"/>
        </w:rPr>
        <w:br w:type="page"/>
      </w:r>
    </w:p>
    <w:sdt>
      <w:sdtPr>
        <w:rPr>
          <w:rFonts w:ascii="Times New Roman" w:eastAsiaTheme="minorHAnsi" w:hAnsi="Times New Roman" w:cs="Times New Roman"/>
          <w:color w:val="auto"/>
          <w:sz w:val="24"/>
          <w:szCs w:val="24"/>
          <w:lang w:val="en-GB"/>
        </w:rPr>
        <w:id w:val="1486810542"/>
        <w:docPartObj>
          <w:docPartGallery w:val="Bibliographies"/>
          <w:docPartUnique/>
        </w:docPartObj>
      </w:sdtPr>
      <w:sdtEndPr>
        <w:rPr>
          <w:lang w:val="en-ZA"/>
        </w:rPr>
      </w:sdtEndPr>
      <w:sdtContent>
        <w:p w14:paraId="4E5DB500" w14:textId="48742F81" w:rsidR="00502F22" w:rsidRPr="00DB5BB4" w:rsidRDefault="00502F22">
          <w:pPr>
            <w:pStyle w:val="Heading1"/>
            <w:rPr>
              <w:rFonts w:ascii="Times New Roman" w:hAnsi="Times New Roman" w:cs="Times New Roman"/>
            </w:rPr>
          </w:pPr>
          <w:r w:rsidRPr="00DB5BB4">
            <w:rPr>
              <w:rFonts w:ascii="Times New Roman" w:hAnsi="Times New Roman" w:cs="Times New Roman"/>
              <w:lang w:val="en-GB"/>
            </w:rPr>
            <w:t>References</w:t>
          </w:r>
        </w:p>
        <w:sdt>
          <w:sdtPr>
            <w:rPr>
              <w:rFonts w:ascii="Times New Roman" w:hAnsi="Times New Roman" w:cs="Times New Roman"/>
            </w:rPr>
            <w:id w:val="-573587230"/>
            <w:bibliography/>
          </w:sdtPr>
          <w:sdtContent>
            <w:p w14:paraId="1C72D2D5" w14:textId="634A1808" w:rsidR="00DB5BB4" w:rsidRPr="00DB5BB4" w:rsidRDefault="00502F22" w:rsidP="00DB5BB4">
              <w:pPr>
                <w:pStyle w:val="Bibliography"/>
                <w:rPr>
                  <w:rFonts w:ascii="Times New Roman" w:hAnsi="Times New Roman" w:cs="Times New Roman"/>
                  <w:noProof/>
                  <w:kern w:val="0"/>
                  <w14:ligatures w14:val="none"/>
                </w:rPr>
              </w:pPr>
              <w:r w:rsidRPr="00DB5BB4">
                <w:rPr>
                  <w:rFonts w:ascii="Times New Roman" w:hAnsi="Times New Roman" w:cs="Times New Roman"/>
                </w:rPr>
                <w:fldChar w:fldCharType="begin"/>
              </w:r>
              <w:r w:rsidRPr="00DB5BB4">
                <w:rPr>
                  <w:rFonts w:ascii="Times New Roman" w:hAnsi="Times New Roman" w:cs="Times New Roman"/>
                </w:rPr>
                <w:instrText>BIBLIOGRAPHY</w:instrText>
              </w:r>
              <w:r w:rsidRPr="00DB5BB4">
                <w:rPr>
                  <w:rFonts w:ascii="Times New Roman" w:hAnsi="Times New Roman" w:cs="Times New Roman"/>
                </w:rPr>
                <w:fldChar w:fldCharType="separate"/>
              </w:r>
              <w:r w:rsidR="00DB5BB4" w:rsidRPr="00DB5BB4">
                <w:rPr>
                  <w:rFonts w:ascii="Times New Roman" w:hAnsi="Times New Roman" w:cs="Times New Roman"/>
                  <w:noProof/>
                </w:rPr>
                <w:t xml:space="preserve">Airport Company South Africa, n.d. </w:t>
              </w:r>
              <w:r w:rsidR="00DB5BB4" w:rsidRPr="00DB5BB4">
                <w:rPr>
                  <w:rFonts w:ascii="Times New Roman" w:hAnsi="Times New Roman" w:cs="Times New Roman"/>
                  <w:i/>
                  <w:iCs/>
                  <w:noProof/>
                </w:rPr>
                <w:t>Customer Relationship Management Solution</w:t>
              </w:r>
              <w:r w:rsidR="00DB5BB4" w:rsidRPr="00DB5BB4">
                <w:rPr>
                  <w:rFonts w:ascii="Times New Roman" w:hAnsi="Times New Roman" w:cs="Times New Roman"/>
                  <w:noProof/>
                </w:rPr>
                <w:t xml:space="preserve">. [Document] Available at: </w:t>
              </w:r>
              <w:hyperlink r:id="rId6" w:history="1">
                <w:r w:rsidR="00DB5BB4" w:rsidRPr="00DB5BB4">
                  <w:rPr>
                    <w:rStyle w:val="Hyperlink"/>
                    <w:rFonts w:ascii="Times New Roman" w:hAnsi="Times New Roman" w:cs="Times New Roman"/>
                    <w:noProof/>
                  </w:rPr>
                  <w:t>https://www.airports.co.za/Documents/Annexure%20A%20Customer%20Relationship%20Management_Scope%20of%20Work_14%20October%202022.pdf</w:t>
                </w:r>
              </w:hyperlink>
              <w:r w:rsidR="00DB5BB4" w:rsidRPr="00DB5BB4">
                <w:rPr>
                  <w:rFonts w:ascii="Times New Roman" w:hAnsi="Times New Roman" w:cs="Times New Roman"/>
                  <w:noProof/>
                </w:rPr>
                <w:t xml:space="preserve"> [Accessed 7 September 2026].</w:t>
              </w:r>
            </w:p>
            <w:p w14:paraId="7C0F0639" w14:textId="1AE16C28" w:rsidR="00DB5BB4" w:rsidRPr="00DB5BB4" w:rsidRDefault="00DB5BB4" w:rsidP="00DB5BB4">
              <w:pPr>
                <w:pStyle w:val="Bibliography"/>
                <w:rPr>
                  <w:rFonts w:ascii="Times New Roman" w:hAnsi="Times New Roman" w:cs="Times New Roman"/>
                  <w:noProof/>
                </w:rPr>
              </w:pPr>
              <w:r w:rsidRPr="00DB5BB4">
                <w:rPr>
                  <w:rFonts w:ascii="Times New Roman" w:hAnsi="Times New Roman" w:cs="Times New Roman"/>
                  <w:noProof/>
                </w:rPr>
                <w:t xml:space="preserve">Pacific Certifications, 2026. </w:t>
              </w:r>
              <w:r w:rsidRPr="00DB5BB4">
                <w:rPr>
                  <w:rFonts w:ascii="Times New Roman" w:hAnsi="Times New Roman" w:cs="Times New Roman"/>
                  <w:i/>
                  <w:iCs/>
                  <w:noProof/>
                </w:rPr>
                <w:t>ISO/IEC 25010:2023 Guide to Software Product Quality Standards</w:t>
              </w:r>
              <w:r w:rsidRPr="00DB5BB4">
                <w:rPr>
                  <w:rFonts w:ascii="Times New Roman" w:hAnsi="Times New Roman" w:cs="Times New Roman"/>
                  <w:noProof/>
                </w:rPr>
                <w:t xml:space="preserve">. [Online] Available at: </w:t>
              </w:r>
              <w:hyperlink r:id="rId7" w:history="1">
                <w:r w:rsidRPr="00DB5BB4">
                  <w:rPr>
                    <w:rStyle w:val="Hyperlink"/>
                    <w:rFonts w:ascii="Times New Roman" w:hAnsi="Times New Roman" w:cs="Times New Roman"/>
                    <w:noProof/>
                  </w:rPr>
                  <w:t>https://blog.pacificcert.com/iso-25010-software-product-quality-model/</w:t>
                </w:r>
              </w:hyperlink>
              <w:r w:rsidRPr="00DB5BB4">
                <w:rPr>
                  <w:rFonts w:ascii="Times New Roman" w:hAnsi="Times New Roman" w:cs="Times New Roman"/>
                  <w:noProof/>
                </w:rPr>
                <w:t xml:space="preserve"> [Accessed 6 September 2026].</w:t>
              </w:r>
            </w:p>
            <w:p w14:paraId="7BF59810" w14:textId="04362C4A" w:rsidR="00502F22" w:rsidRPr="00DB5BB4" w:rsidRDefault="00502F22" w:rsidP="00DB5BB4">
              <w:pPr>
                <w:rPr>
                  <w:rFonts w:ascii="Times New Roman" w:hAnsi="Times New Roman" w:cs="Times New Roman"/>
                </w:rPr>
              </w:pPr>
              <w:r w:rsidRPr="00DB5BB4">
                <w:rPr>
                  <w:rFonts w:ascii="Times New Roman" w:hAnsi="Times New Roman" w:cs="Times New Roman"/>
                  <w:b/>
                  <w:bCs/>
                </w:rPr>
                <w:fldChar w:fldCharType="end"/>
              </w:r>
            </w:p>
          </w:sdtContent>
        </w:sdt>
      </w:sdtContent>
    </w:sdt>
    <w:p w14:paraId="5C44F372" w14:textId="77777777" w:rsidR="00045F57" w:rsidRPr="00DB5BB4" w:rsidRDefault="00045F57">
      <w:pPr>
        <w:rPr>
          <w:rFonts w:ascii="Times New Roman" w:hAnsi="Times New Roman" w:cs="Times New Roman"/>
        </w:rPr>
      </w:pPr>
    </w:p>
    <w:sectPr w:rsidR="00045F57" w:rsidRPr="00DB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2D72"/>
    <w:multiLevelType w:val="hybridMultilevel"/>
    <w:tmpl w:val="058C4FD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9BE1B1E"/>
    <w:multiLevelType w:val="hybridMultilevel"/>
    <w:tmpl w:val="0A36F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04531DD"/>
    <w:multiLevelType w:val="hybridMultilevel"/>
    <w:tmpl w:val="9BB4D79A"/>
    <w:lvl w:ilvl="0" w:tplc="EA7AF612">
      <w:start w:val="1"/>
      <w:numFmt w:val="decimal"/>
      <w:lvlText w:val="%1."/>
      <w:lvlJc w:val="left"/>
      <w:pPr>
        <w:ind w:left="720" w:hanging="360"/>
      </w:pPr>
    </w:lvl>
    <w:lvl w:ilvl="1" w:tplc="B54CD63E">
      <w:start w:val="1"/>
      <w:numFmt w:val="lowerLetter"/>
      <w:lvlText w:val="%2."/>
      <w:lvlJc w:val="left"/>
      <w:pPr>
        <w:ind w:left="1440" w:hanging="360"/>
      </w:pPr>
    </w:lvl>
    <w:lvl w:ilvl="2" w:tplc="B854260A">
      <w:start w:val="1"/>
      <w:numFmt w:val="lowerRoman"/>
      <w:lvlText w:val="%3."/>
      <w:lvlJc w:val="right"/>
      <w:pPr>
        <w:ind w:left="2160" w:hanging="180"/>
      </w:pPr>
    </w:lvl>
    <w:lvl w:ilvl="3" w:tplc="D21619B8">
      <w:start w:val="1"/>
      <w:numFmt w:val="decimal"/>
      <w:lvlText w:val="%4."/>
      <w:lvlJc w:val="left"/>
      <w:pPr>
        <w:ind w:left="2880" w:hanging="360"/>
      </w:pPr>
    </w:lvl>
    <w:lvl w:ilvl="4" w:tplc="03201B90">
      <w:start w:val="1"/>
      <w:numFmt w:val="lowerLetter"/>
      <w:lvlText w:val="%5."/>
      <w:lvlJc w:val="left"/>
      <w:pPr>
        <w:ind w:left="3600" w:hanging="360"/>
      </w:pPr>
    </w:lvl>
    <w:lvl w:ilvl="5" w:tplc="DF66CF08">
      <w:start w:val="1"/>
      <w:numFmt w:val="lowerRoman"/>
      <w:lvlText w:val="%6."/>
      <w:lvlJc w:val="right"/>
      <w:pPr>
        <w:ind w:left="4320" w:hanging="180"/>
      </w:pPr>
    </w:lvl>
    <w:lvl w:ilvl="6" w:tplc="15C8010C">
      <w:start w:val="1"/>
      <w:numFmt w:val="decimal"/>
      <w:lvlText w:val="%7."/>
      <w:lvlJc w:val="left"/>
      <w:pPr>
        <w:ind w:left="5040" w:hanging="360"/>
      </w:pPr>
    </w:lvl>
    <w:lvl w:ilvl="7" w:tplc="927AD7E0">
      <w:start w:val="1"/>
      <w:numFmt w:val="lowerLetter"/>
      <w:lvlText w:val="%8."/>
      <w:lvlJc w:val="left"/>
      <w:pPr>
        <w:ind w:left="5760" w:hanging="360"/>
      </w:pPr>
    </w:lvl>
    <w:lvl w:ilvl="8" w:tplc="3506AE14">
      <w:start w:val="1"/>
      <w:numFmt w:val="lowerRoman"/>
      <w:lvlText w:val="%9."/>
      <w:lvlJc w:val="right"/>
      <w:pPr>
        <w:ind w:left="6480" w:hanging="180"/>
      </w:pPr>
    </w:lvl>
  </w:abstractNum>
  <w:num w:numId="1" w16cid:durableId="1092162233">
    <w:abstractNumId w:val="0"/>
  </w:num>
  <w:num w:numId="2" w16cid:durableId="455217585">
    <w:abstractNumId w:val="1"/>
  </w:num>
  <w:num w:numId="3" w16cid:durableId="849181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B4"/>
    <w:rsid w:val="000052B5"/>
    <w:rsid w:val="00015880"/>
    <w:rsid w:val="00045F57"/>
    <w:rsid w:val="000540DF"/>
    <w:rsid w:val="00066420"/>
    <w:rsid w:val="000735C0"/>
    <w:rsid w:val="000A4B5E"/>
    <w:rsid w:val="000E155C"/>
    <w:rsid w:val="000E529B"/>
    <w:rsid w:val="00111673"/>
    <w:rsid w:val="00117FB6"/>
    <w:rsid w:val="001245F5"/>
    <w:rsid w:val="001261CE"/>
    <w:rsid w:val="00131C28"/>
    <w:rsid w:val="00140C31"/>
    <w:rsid w:val="00145E25"/>
    <w:rsid w:val="0014652B"/>
    <w:rsid w:val="001517D4"/>
    <w:rsid w:val="00171BC5"/>
    <w:rsid w:val="00172B8C"/>
    <w:rsid w:val="00181511"/>
    <w:rsid w:val="00192A51"/>
    <w:rsid w:val="001B40D9"/>
    <w:rsid w:val="001D1954"/>
    <w:rsid w:val="001D2994"/>
    <w:rsid w:val="001F36E8"/>
    <w:rsid w:val="001F4651"/>
    <w:rsid w:val="00204ADE"/>
    <w:rsid w:val="00207BAE"/>
    <w:rsid w:val="00231CA8"/>
    <w:rsid w:val="0025347E"/>
    <w:rsid w:val="00267604"/>
    <w:rsid w:val="00287CF6"/>
    <w:rsid w:val="00295FE9"/>
    <w:rsid w:val="002B5724"/>
    <w:rsid w:val="002C0A6D"/>
    <w:rsid w:val="002C45C2"/>
    <w:rsid w:val="002C7F7B"/>
    <w:rsid w:val="002D3A21"/>
    <w:rsid w:val="002D3AB7"/>
    <w:rsid w:val="002F710B"/>
    <w:rsid w:val="003148DE"/>
    <w:rsid w:val="003204CE"/>
    <w:rsid w:val="0034115B"/>
    <w:rsid w:val="003546BC"/>
    <w:rsid w:val="00355BA5"/>
    <w:rsid w:val="00395D89"/>
    <w:rsid w:val="00402231"/>
    <w:rsid w:val="004040BD"/>
    <w:rsid w:val="00410EFE"/>
    <w:rsid w:val="00414EA6"/>
    <w:rsid w:val="0043584C"/>
    <w:rsid w:val="00465A15"/>
    <w:rsid w:val="00492820"/>
    <w:rsid w:val="00495FDC"/>
    <w:rsid w:val="004A5CF4"/>
    <w:rsid w:val="004B4AC4"/>
    <w:rsid w:val="004B65E6"/>
    <w:rsid w:val="004C4BCC"/>
    <w:rsid w:val="004F0239"/>
    <w:rsid w:val="00502F22"/>
    <w:rsid w:val="00507719"/>
    <w:rsid w:val="00512EDE"/>
    <w:rsid w:val="00515AB0"/>
    <w:rsid w:val="00516072"/>
    <w:rsid w:val="00527945"/>
    <w:rsid w:val="00530EC7"/>
    <w:rsid w:val="00557416"/>
    <w:rsid w:val="00574F78"/>
    <w:rsid w:val="005A430E"/>
    <w:rsid w:val="005A6C94"/>
    <w:rsid w:val="005C44F8"/>
    <w:rsid w:val="005E235F"/>
    <w:rsid w:val="005F73DE"/>
    <w:rsid w:val="006261B0"/>
    <w:rsid w:val="00630D44"/>
    <w:rsid w:val="00631B66"/>
    <w:rsid w:val="00656BC4"/>
    <w:rsid w:val="0069133E"/>
    <w:rsid w:val="00694480"/>
    <w:rsid w:val="006B4304"/>
    <w:rsid w:val="006B756B"/>
    <w:rsid w:val="006C3D79"/>
    <w:rsid w:val="006D447C"/>
    <w:rsid w:val="006D794C"/>
    <w:rsid w:val="00707256"/>
    <w:rsid w:val="007319DE"/>
    <w:rsid w:val="007379BD"/>
    <w:rsid w:val="007466AB"/>
    <w:rsid w:val="007506F2"/>
    <w:rsid w:val="007526A7"/>
    <w:rsid w:val="00794B5D"/>
    <w:rsid w:val="00795C66"/>
    <w:rsid w:val="00797020"/>
    <w:rsid w:val="007B65A3"/>
    <w:rsid w:val="007C4BC5"/>
    <w:rsid w:val="007E4E6A"/>
    <w:rsid w:val="007F1812"/>
    <w:rsid w:val="00802CEE"/>
    <w:rsid w:val="00846D13"/>
    <w:rsid w:val="00846D67"/>
    <w:rsid w:val="00873024"/>
    <w:rsid w:val="00885FCA"/>
    <w:rsid w:val="008B1964"/>
    <w:rsid w:val="008C493B"/>
    <w:rsid w:val="008E51DC"/>
    <w:rsid w:val="008E7120"/>
    <w:rsid w:val="008F78A4"/>
    <w:rsid w:val="00900DB5"/>
    <w:rsid w:val="0090373F"/>
    <w:rsid w:val="009130F7"/>
    <w:rsid w:val="00921ABF"/>
    <w:rsid w:val="0092541A"/>
    <w:rsid w:val="00936F6B"/>
    <w:rsid w:val="00945B1D"/>
    <w:rsid w:val="00951D1D"/>
    <w:rsid w:val="00952E54"/>
    <w:rsid w:val="00960CC8"/>
    <w:rsid w:val="009724FF"/>
    <w:rsid w:val="00972A8C"/>
    <w:rsid w:val="00980E98"/>
    <w:rsid w:val="009A7630"/>
    <w:rsid w:val="009B21A5"/>
    <w:rsid w:val="009B424A"/>
    <w:rsid w:val="009D4BE2"/>
    <w:rsid w:val="009E3780"/>
    <w:rsid w:val="009E3B8B"/>
    <w:rsid w:val="009F1CBB"/>
    <w:rsid w:val="00A135C4"/>
    <w:rsid w:val="00A1369B"/>
    <w:rsid w:val="00A73BD1"/>
    <w:rsid w:val="00AE7BF3"/>
    <w:rsid w:val="00AF30EA"/>
    <w:rsid w:val="00AF63F2"/>
    <w:rsid w:val="00B015BC"/>
    <w:rsid w:val="00B12EDA"/>
    <w:rsid w:val="00B327EF"/>
    <w:rsid w:val="00B50E40"/>
    <w:rsid w:val="00B51606"/>
    <w:rsid w:val="00B618BB"/>
    <w:rsid w:val="00B64461"/>
    <w:rsid w:val="00BC4226"/>
    <w:rsid w:val="00BC5FDA"/>
    <w:rsid w:val="00BC78D0"/>
    <w:rsid w:val="00BE1B85"/>
    <w:rsid w:val="00BE2A3C"/>
    <w:rsid w:val="00BE729F"/>
    <w:rsid w:val="00BF15B8"/>
    <w:rsid w:val="00BF43EA"/>
    <w:rsid w:val="00C0753E"/>
    <w:rsid w:val="00C11E75"/>
    <w:rsid w:val="00C21DB4"/>
    <w:rsid w:val="00C64D38"/>
    <w:rsid w:val="00C70A32"/>
    <w:rsid w:val="00C9603C"/>
    <w:rsid w:val="00CA3E98"/>
    <w:rsid w:val="00CA4F2A"/>
    <w:rsid w:val="00CA7E59"/>
    <w:rsid w:val="00CF4B34"/>
    <w:rsid w:val="00D029F6"/>
    <w:rsid w:val="00D23A96"/>
    <w:rsid w:val="00D43CDC"/>
    <w:rsid w:val="00D624A7"/>
    <w:rsid w:val="00DA457A"/>
    <w:rsid w:val="00DA56FC"/>
    <w:rsid w:val="00DB5BB4"/>
    <w:rsid w:val="00DB6FB5"/>
    <w:rsid w:val="00DE70EB"/>
    <w:rsid w:val="00E01925"/>
    <w:rsid w:val="00E05FBB"/>
    <w:rsid w:val="00E123F0"/>
    <w:rsid w:val="00E46303"/>
    <w:rsid w:val="00EB5377"/>
    <w:rsid w:val="00EB7D4B"/>
    <w:rsid w:val="00EC6308"/>
    <w:rsid w:val="00ED13DE"/>
    <w:rsid w:val="00EF346B"/>
    <w:rsid w:val="00F13696"/>
    <w:rsid w:val="00F2155D"/>
    <w:rsid w:val="00F22845"/>
    <w:rsid w:val="00F61861"/>
    <w:rsid w:val="00F73793"/>
    <w:rsid w:val="00F73869"/>
    <w:rsid w:val="00F76A54"/>
    <w:rsid w:val="00F774D8"/>
    <w:rsid w:val="00F81C64"/>
    <w:rsid w:val="00FC06DB"/>
    <w:rsid w:val="00FC1AE5"/>
    <w:rsid w:val="00FC6A63"/>
    <w:rsid w:val="00FD37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9CD9"/>
  <w15:chartTrackingRefBased/>
  <w15:docId w15:val="{DD52908E-6C70-4C63-9B07-1AE75BC7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B4"/>
    <w:rPr>
      <w:rFonts w:eastAsiaTheme="majorEastAsia" w:cstheme="majorBidi"/>
      <w:color w:val="272727" w:themeColor="text1" w:themeTint="D8"/>
    </w:rPr>
  </w:style>
  <w:style w:type="paragraph" w:styleId="Title">
    <w:name w:val="Title"/>
    <w:basedOn w:val="Normal"/>
    <w:next w:val="Normal"/>
    <w:link w:val="TitleChar"/>
    <w:uiPriority w:val="10"/>
    <w:qFormat/>
    <w:rsid w:val="00C2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B4"/>
    <w:pPr>
      <w:spacing w:before="160"/>
      <w:jc w:val="center"/>
    </w:pPr>
    <w:rPr>
      <w:i/>
      <w:iCs/>
      <w:color w:val="404040" w:themeColor="text1" w:themeTint="BF"/>
    </w:rPr>
  </w:style>
  <w:style w:type="character" w:customStyle="1" w:styleId="QuoteChar">
    <w:name w:val="Quote Char"/>
    <w:basedOn w:val="DefaultParagraphFont"/>
    <w:link w:val="Quote"/>
    <w:uiPriority w:val="29"/>
    <w:rsid w:val="00C21DB4"/>
    <w:rPr>
      <w:i/>
      <w:iCs/>
      <w:color w:val="404040" w:themeColor="text1" w:themeTint="BF"/>
    </w:rPr>
  </w:style>
  <w:style w:type="paragraph" w:styleId="ListParagraph">
    <w:name w:val="List Paragraph"/>
    <w:basedOn w:val="Normal"/>
    <w:uiPriority w:val="34"/>
    <w:qFormat/>
    <w:rsid w:val="00C21DB4"/>
    <w:pPr>
      <w:ind w:left="720"/>
      <w:contextualSpacing/>
    </w:pPr>
  </w:style>
  <w:style w:type="character" w:styleId="IntenseEmphasis">
    <w:name w:val="Intense Emphasis"/>
    <w:basedOn w:val="DefaultParagraphFont"/>
    <w:uiPriority w:val="21"/>
    <w:qFormat/>
    <w:rsid w:val="00C21DB4"/>
    <w:rPr>
      <w:i/>
      <w:iCs/>
      <w:color w:val="0F4761" w:themeColor="accent1" w:themeShade="BF"/>
    </w:rPr>
  </w:style>
  <w:style w:type="paragraph" w:styleId="IntenseQuote">
    <w:name w:val="Intense Quote"/>
    <w:basedOn w:val="Normal"/>
    <w:next w:val="Normal"/>
    <w:link w:val="IntenseQuoteChar"/>
    <w:uiPriority w:val="30"/>
    <w:qFormat/>
    <w:rsid w:val="00C2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DB4"/>
    <w:rPr>
      <w:i/>
      <w:iCs/>
      <w:color w:val="0F4761" w:themeColor="accent1" w:themeShade="BF"/>
    </w:rPr>
  </w:style>
  <w:style w:type="character" w:styleId="IntenseReference">
    <w:name w:val="Intense Reference"/>
    <w:basedOn w:val="DefaultParagraphFont"/>
    <w:uiPriority w:val="32"/>
    <w:qFormat/>
    <w:rsid w:val="00C21DB4"/>
    <w:rPr>
      <w:b/>
      <w:bCs/>
      <w:smallCaps/>
      <w:color w:val="0F4761" w:themeColor="accent1" w:themeShade="BF"/>
      <w:spacing w:val="5"/>
    </w:rPr>
  </w:style>
  <w:style w:type="table" w:styleId="TableGrid">
    <w:name w:val="Table Grid"/>
    <w:basedOn w:val="TableNormal"/>
    <w:uiPriority w:val="39"/>
    <w:rsid w:val="00EC6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F78A4"/>
  </w:style>
  <w:style w:type="character" w:styleId="Hyperlink">
    <w:name w:val="Hyperlink"/>
    <w:basedOn w:val="DefaultParagraphFont"/>
    <w:uiPriority w:val="99"/>
    <w:semiHidden/>
    <w:unhideWhenUsed/>
    <w:rsid w:val="008F78A4"/>
    <w:rPr>
      <w:color w:val="0000FF"/>
      <w:u w:val="single"/>
    </w:rPr>
  </w:style>
  <w:style w:type="paragraph" w:customStyle="1" w:styleId="paragraph">
    <w:name w:val="paragraph"/>
    <w:basedOn w:val="Normal"/>
    <w:rsid w:val="000E529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normaltextrun">
    <w:name w:val="normaltextrun"/>
    <w:basedOn w:val="DefaultParagraphFont"/>
    <w:rsid w:val="000E529B"/>
  </w:style>
  <w:style w:type="character" w:customStyle="1" w:styleId="eop">
    <w:name w:val="eop"/>
    <w:basedOn w:val="DefaultParagraphFont"/>
    <w:rsid w:val="000E5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2325">
      <w:bodyDiv w:val="1"/>
      <w:marLeft w:val="0"/>
      <w:marRight w:val="0"/>
      <w:marTop w:val="0"/>
      <w:marBottom w:val="0"/>
      <w:divBdr>
        <w:top w:val="none" w:sz="0" w:space="0" w:color="auto"/>
        <w:left w:val="none" w:sz="0" w:space="0" w:color="auto"/>
        <w:bottom w:val="none" w:sz="0" w:space="0" w:color="auto"/>
        <w:right w:val="none" w:sz="0" w:space="0" w:color="auto"/>
      </w:divBdr>
    </w:div>
    <w:div w:id="198906316">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
    <w:div w:id="751439100">
      <w:bodyDiv w:val="1"/>
      <w:marLeft w:val="0"/>
      <w:marRight w:val="0"/>
      <w:marTop w:val="0"/>
      <w:marBottom w:val="0"/>
      <w:divBdr>
        <w:top w:val="none" w:sz="0" w:space="0" w:color="auto"/>
        <w:left w:val="none" w:sz="0" w:space="0" w:color="auto"/>
        <w:bottom w:val="none" w:sz="0" w:space="0" w:color="auto"/>
        <w:right w:val="none" w:sz="0" w:space="0" w:color="auto"/>
      </w:divBdr>
    </w:div>
    <w:div w:id="1255746877">
      <w:bodyDiv w:val="1"/>
      <w:marLeft w:val="0"/>
      <w:marRight w:val="0"/>
      <w:marTop w:val="0"/>
      <w:marBottom w:val="0"/>
      <w:divBdr>
        <w:top w:val="none" w:sz="0" w:space="0" w:color="auto"/>
        <w:left w:val="none" w:sz="0" w:space="0" w:color="auto"/>
        <w:bottom w:val="none" w:sz="0" w:space="0" w:color="auto"/>
        <w:right w:val="none" w:sz="0" w:space="0" w:color="auto"/>
      </w:divBdr>
    </w:div>
    <w:div w:id="1768695807">
      <w:bodyDiv w:val="1"/>
      <w:marLeft w:val="0"/>
      <w:marRight w:val="0"/>
      <w:marTop w:val="0"/>
      <w:marBottom w:val="0"/>
      <w:divBdr>
        <w:top w:val="none" w:sz="0" w:space="0" w:color="auto"/>
        <w:left w:val="none" w:sz="0" w:space="0" w:color="auto"/>
        <w:bottom w:val="none" w:sz="0" w:space="0" w:color="auto"/>
        <w:right w:val="none" w:sz="0" w:space="0" w:color="auto"/>
      </w:divBdr>
    </w:div>
    <w:div w:id="2086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log.pacificcert.com/iso-25010-software-product-quality-mod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irports.co.za/Documents/Annexure%20A%20Customer%20Relationship%20Management_Scope%20of%20Work_14%20October%202022.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Version="1">
  <b:Source>
    <b:Tag>Pac26</b:Tag>
    <b:SourceType>InternetSite</b:SourceType>
    <b:Guid>{4B6157D4-A9FF-4AD4-A76E-5C45FF0D80E2}</b:Guid>
    <b:Title>ISO/IEC 25010:2023 Guide to Software Product Quality Standards</b:Title>
    <b:Year>2026</b:Year>
    <b:Author>
      <b:Author>
        <b:Corporate>Pacific Certifications</b:Corporate>
      </b:Author>
    </b:Author>
    <b:YearAccessed>2026</b:YearAccessed>
    <b:MonthAccessed>September</b:MonthAccessed>
    <b:DayAccessed>6</b:DayAccessed>
    <b:URL>https://blog.pacificcert.com/iso-25010-software-product-quality-model/</b:URL>
    <b:RefOrder>1</b:RefOrder>
  </b:Source>
  <b:Source>
    <b:Tag>Air26</b:Tag>
    <b:SourceType>DocumentFromInternetSite</b:SourceType>
    <b:Guid>{8C295F7D-3F77-4DD6-9D81-B82DCE530B86}</b:Guid>
    <b:Title>Customer Relationship Management Solution </b:Title>
    <b:YearAccessed>2026</b:YearAccessed>
    <b:MonthAccessed>September</b:MonthAccessed>
    <b:DayAccessed>7</b:DayAccessed>
    <b:URL>https://www.airports.co.za/Documents/Annexure%20A%20Customer%20Relationship%20Management_Scope%20of%20Work_14%20October%202022.pdf</b:URL>
    <b:Medium>Document</b:Medium>
    <b:Author>
      <b:Author>
        <b:Corporate>Airport Company South Africa</b:Corporate>
      </b:Author>
    </b:Author>
    <b:RefOrder>2</b:RefOrder>
  </b:Source>
</b:Sources>
</file>

<file path=customXml/itemProps1.xml><?xml version="1.0" encoding="utf-8"?>
<ds:datastoreItem xmlns:ds="http://schemas.openxmlformats.org/officeDocument/2006/customXml" ds:itemID="{6E2754BF-CBBF-4DF5-A693-65923294D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2006</Words>
  <Characters>11435</Characters>
  <Application>Microsoft Office Word</Application>
  <DocSecurity>0</DocSecurity>
  <Lines>95</Lines>
  <Paragraphs>26</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Tammy Fourie</cp:lastModifiedBy>
  <cp:revision>180</cp:revision>
  <dcterms:created xsi:type="dcterms:W3CDTF">2026-09-05T07:48:00Z</dcterms:created>
  <dcterms:modified xsi:type="dcterms:W3CDTF">2026-09-22T14:13:00Z</dcterms:modified>
</cp:coreProperties>
</file>