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4"/>
        <w:gridCol w:w="821"/>
        <w:gridCol w:w="736"/>
        <w:gridCol w:w="955"/>
        <w:gridCol w:w="1234"/>
        <w:gridCol w:w="998"/>
        <w:gridCol w:w="867"/>
        <w:gridCol w:w="768"/>
        <w:gridCol w:w="891"/>
        <w:gridCol w:w="1172"/>
      </w:tblGrid>
      <w:tr w:rsidR="00D634E2" w:rsidRPr="00B51A47" w14:paraId="336FBEFC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6176F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Decision ID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061EC31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Context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652F3AD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Constraints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FF25DF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Alternatives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00BCE9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Decision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00FBA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Rationale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C3012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Trade-offs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240ED8BB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Risks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689D48E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Evidence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503F23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Later Consequence</w:t>
            </w:r>
          </w:p>
        </w:tc>
      </w:tr>
      <w:tr w:rsidR="00D634E2" w:rsidRPr="00B51A47" w14:paraId="0A47D19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FE9A6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5EE2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Repository setup and team collaboration workflow.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3E49B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Mandatory 3-student team size and strict GitHub assessment criteria.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9F2C33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Unprotected main branch or single-reviewer sign-off.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F933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Adopt a protected main branch with a mandatory two-reviewer approval model.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708EF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Enforces peer accountability and prevents uncontrolled code/documentation from entering the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293A40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Slower initial integration speed due to review bottlenecks.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C7CA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PRs sitting unreviewed, risking schedule delays.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6A62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Branch protection rules applied in GitHub settings.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0E25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A</w:t>
            </w:r>
            <w:r w:rsidRPr="00E57C3B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ctive &amp; Extended in M2:</w:t>
            </w:r>
            <w:r w:rsidRPr="00E57C3B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Continues to govern all M2 code and PED branches (CON-RES-04, CON-GOV-01). Extended in M2 using Assignment 2 Task 4 research by introducing a structured peer-review checklist and automated GitHub Actions CI quality gates (npm ci, build, lint, unit tests) on Pull Requests (D07, Section 7.4).</w:t>
            </w:r>
          </w:p>
        </w:tc>
      </w:tr>
      <w:tr w:rsidR="00D634E2" w:rsidRPr="00B51A47" w14:paraId="4D1F2CA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413BB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DBB5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Technology stack and database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8F83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1 boundaries explicitly prohibit final technology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C6FE4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Select a framework immediately to begin coding.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6529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Defer the final technology stack selection to Milestone 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6B78D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Prevents premature technical commitment before requirements and operational constraints are baselined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07D854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Delays technical experimentation.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2CA8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Teams may face a steeper learning curve in M2 once the stack is locked.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0B03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Recorded as a deferred decision in PED v1.0.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148AD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9E7BE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Superseded in M2 by D05 and D08:</w:t>
            </w:r>
            <w:r w:rsidRPr="009E7BEF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Resolved once M2 Architecturally Significant Requirements (ASR-001–ASR-010) and Assignment 2 persistence/integration research were completed, resulting in the baselined PERN stack (D05, Section 9) and consolidated 4-table PostgreSQL schema (D08, Section 8)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D634E2" w:rsidRPr="00B51A47" w14:paraId="5CE91B8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01C92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DE07D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Scope of detailed UI wireframes, DB schemas, and APIs.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9EBA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1 is restricted to an engineering and requirements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027A7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Creating mockups and schemas to get a head start.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216A1E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Exclude UI, DB schemas, and APIs from Milestone 1 deliverables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F0EBE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Keeps the team focused entirely on defining requirements, risks, and constraints.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9698B8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Less visual context for stakeholders during M1.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D8D3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Misalignment on UI expectations in M2.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CFE7B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Scope baseline boundaries in PED v1.0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F9958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sz w:val="12"/>
                <w:szCs w:val="12"/>
              </w:rPr>
              <w:t>Superseded/ Fulfilled in M2: Resolved in PED v2.0 through the baseline ERD and persistence model, Information Architecture and clickable wireframes as well as the REST API Endpoint Contract Baseline (Section 12, D06).</w:t>
            </w:r>
          </w:p>
        </w:tc>
      </w:tr>
      <w:tr w:rsidR="00D634E2" w:rsidRPr="00B51A47" w14:paraId="6A444558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2D812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B8214D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Standardization of AI usage and verification.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E25D1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AI output is not authoritative evidence and requires human verification.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923B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Ad-hoc tracking or total prohibition of AI tools.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7B71A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Mandate the AI Usage Register with specific naming conventions (e.g., AI-RES).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C3F58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Maintains academic integrity, transparency, and ensures human accountability for all AI-assisted work.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EF810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Administrative overhead in logging queries.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6F443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Team members forget to log minor AI queries.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9F4D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AI Usage Register document.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52885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B2618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Active &amp; Expanded in M2:</w:t>
            </w:r>
            <w:r w:rsidRPr="00B2618F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Continued in Section 21 (AI-016 to AI-023) to govern and independently verify M2 code generation, architecture diagrams, database connection setup, and peer-reviewed academic citations (CON-SEC-06, CON-GOV-03)</w:t>
            </w:r>
          </w:p>
        </w:tc>
      </w:tr>
      <w:tr w:rsidR="00D634E2" w:rsidRPr="00B51A47" w14:paraId="62AE34C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52A7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B0DD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2 Technology Stack Commitment (supersedes M1 deferred decision D02).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EDF8E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D34865">
              <w:rPr>
                <w:rFonts w:ascii="Times New Roman" w:eastAsia="cal" w:hAnsi="Times New Roman" w:cs="Times New Roman"/>
                <w:sz w:val="12"/>
                <w:szCs w:val="12"/>
              </w:rPr>
              <w:t>ASR-001 (R0 budget), CON-RES-01 (3-person team), ASR-006 (210 users), ASR-007 (ACID integrity), ASR-010 (cross-device UI)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2F40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Native mobile apps + NoSQL (MongoDB) or enterprise Java/.NET stack.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184ED2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Baseline the </w:t>
            </w:r>
            <w:r w:rsidRPr="000455B8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PERN stack</w:t>
            </w:r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(PostgreSQL 16, Express 4, React 18, Node.js 20 LTS) with pg, bcrypt/crypto, jsonwebtoken, nodemailer, and npm ci lockfiles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94811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Open-source (R0 cost), unified JavaScript across client/server, native ACID transaction support in PostgreSQL, and responsive web reach across all devices (Horn et al., 2023; Hellerstein, Stonebraker and Hamilton, 2007)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8D31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Less schema flexibility than NoSQL; requires strict npm supply-chain auditing (npm audit)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5F98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sz w:val="12"/>
                <w:szCs w:val="12"/>
              </w:rPr>
              <w:t>T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ransitive npm package vulnerabilities (CON-SEC-05); free-tier hosting limits (R04)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B155DB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PED v2.0 Section 9; package.json, package-lock.json, and initial backend/frontend bootstrap in GitHub repository.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7686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All M2/M3 modules (User, Request, Staff, Admin) and CI checks must conform to the PERN baseline</w:t>
            </w:r>
          </w:p>
        </w:tc>
      </w:tr>
      <w:tr w:rsidR="00D634E2" w:rsidRPr="00B51A47" w14:paraId="07674DB2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C8B71" w14:textId="77777777" w:rsidR="00D634E2" w:rsidRPr="00EB38E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D06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EE4843" w14:textId="77777777" w:rsidR="00D634E2" w:rsidRPr="00432FFF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4603A6">
              <w:rPr>
                <w:rFonts w:ascii="Times New Roman" w:eastAsia="cal" w:hAnsi="Times New Roman" w:cs="Times New Roman"/>
                <w:sz w:val="12"/>
                <w:szCs w:val="12"/>
              </w:rPr>
              <w:t>Client-Server Integration Mechanism &amp; Data Validation Boundary for Request Submission and Status Updates.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5726DA" w14:textId="77777777" w:rsidR="00D634E2" w:rsidRPr="00090D4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ASR-005 (&lt;10s/30s response), ASR-007 (REQ-028 zero corruption), REQ-031 (NFR-007 no duplicates), CON-SEC-03 (RBAC)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A6459" w14:textId="77777777" w:rsidR="00D634E2" w:rsidRPr="00090D4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Asynchronous message broker (RabbitMQ/Kafka) or single-layer validation with read-caching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85438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Adopt a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Synchronous HTTP/REST JSON API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(/api/v1/) with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hybrid validation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(Express fail-fast + PostgreSQL ACID constraints) and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exclude read-caching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on write validation paths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73B06D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Provides immediate transactional confirmation to the React UI without message-broker complexity (De Iasio and Zimeo, 2021; Nookala, 2023) and prevents stale-cache duplicate bugs (Bailis et al., 2012).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441565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Tight temporal coupling between React client and Express server during submission.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5AEB0" w14:textId="77777777" w:rsidR="00D634E2" w:rsidRPr="00B337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Downstream DB slowness directly impacts API latency (R03, R06)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B7E77" w14:textId="77777777" w:rsidR="00D634E2" w:rsidRPr="00B337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PED v2.0 Section 1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2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; A2 Task 2 &amp; Task 3 research; Express route/controller artefacts.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6F5D9D" w14:textId="77777777" w:rsidR="00D634E2" w:rsidRPr="001B0B76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External notifications (ASR-008) 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are isolated via the D11 Strategy/Adapter and dispatched after commit (D12) so they never block synchronous REST responses</w:t>
            </w:r>
          </w:p>
        </w:tc>
      </w:tr>
      <w:tr w:rsidR="00D634E2" w:rsidRPr="00B51A47" w14:paraId="318A2F63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1C4A4E" w14:textId="77777777" w:rsidR="00D634E2" w:rsidRPr="00B11F1D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D07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B655B" w14:textId="77777777" w:rsidR="00D634E2" w:rsidRPr="00B11F1D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2 Deployment Compatibility &amp; Environment Configuration Strategy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4C37CA" w14:textId="77777777" w:rsidR="00D634E2" w:rsidRPr="00B11F1D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CON-TEC-03 (environment separation), CON-SEC-02 (no committed secrets), ASR-001 (R0 budget), M2 Section 5.8 boundary.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051128" w14:textId="77777777" w:rsidR="00D634E2" w:rsidRPr="00BC2A9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Hardcoded local config or premature full cloud/container production orchestration in M2.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6FFE08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Enforce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stateless API design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, runtime .env secret injection (.gitignore + .env.example), and npm ci parity while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deferring final cloud hosting/failover automation to M3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712BDC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Prevents credential leaks (CON-SEC-02) and environment drift (Nazário, Bonifácio and Pinto, 2025; Gamage et al., 2026) without wasting M2 coding capacity on premature infrastructure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AC5E2E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Local development does not yet simulate real cloud network latency or live replica failover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5DA96" w14:textId="77777777" w:rsidR="00D634E2" w:rsidRPr="005679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Free-tier cloud limits or cold starts discovered during M3 deployment (R03, R05).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BF7819" w14:textId="77777777" w:rsidR="00D634E2" w:rsidRPr="005679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PED v2.0 Section 1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3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; .gitignore and environment config structure in repository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6F1520" w14:textId="77777777" w:rsidR="00D634E2" w:rsidRPr="004B32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3 must select the final hosting platform and verify backup/failover recovery (REQ-036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, CR-006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).</w:t>
            </w:r>
          </w:p>
        </w:tc>
      </w:tr>
      <w:tr w:rsidR="00D634E2" w14:paraId="064217A6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8BCBD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cal" w:hAnsi="Times New Roman" w:cs="Times New Roman"/>
                <w:sz w:val="12"/>
                <w:szCs w:val="12"/>
              </w:rPr>
              <w:t>DO8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D54FD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Requester, Staff, and Management are merged into a single entity called “user”.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32157A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R0 budget (ASR-001), RBAC (ASR-002), password security (ASR-003), no corrupted requests (ASR-007), small team.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6E9932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 xml:space="preserve">1 </w:t>
            </w:r>
            <w:r w:rsidRPr="6F117D5F">
              <w:rPr>
                <w:sz w:val="12"/>
                <w:szCs w:val="12"/>
              </w:rPr>
              <w:t>user</w:t>
            </w:r>
            <w:r w:rsidRPr="309032A4">
              <w:rPr>
                <w:sz w:val="12"/>
                <w:szCs w:val="12"/>
              </w:rPr>
              <w:t xml:space="preserve"> table </w:t>
            </w:r>
            <w:r w:rsidRPr="6F117D5F">
              <w:rPr>
                <w:sz w:val="12"/>
                <w:szCs w:val="12"/>
              </w:rPr>
              <w:t>vs 3 user tables;</w:t>
            </w:r>
            <w:r w:rsidRPr="309032A4">
              <w:rPr>
                <w:sz w:val="12"/>
                <w:szCs w:val="12"/>
              </w:rPr>
              <w:t xml:space="preserve"> Idempotency keys </w:t>
            </w:r>
            <w:r w:rsidRPr="6F117D5F">
              <w:rPr>
                <w:sz w:val="12"/>
                <w:szCs w:val="12"/>
              </w:rPr>
              <w:t>against</w:t>
            </w:r>
            <w:r w:rsidRPr="309032A4">
              <w:rPr>
                <w:sz w:val="12"/>
                <w:szCs w:val="12"/>
              </w:rPr>
              <w:t xml:space="preserve"> pre-save checks (A2 §5.4.1). Caching </w:t>
            </w:r>
            <w:r w:rsidRPr="6F117D5F">
              <w:rPr>
                <w:sz w:val="12"/>
                <w:szCs w:val="12"/>
              </w:rPr>
              <w:t>against</w:t>
            </w:r>
            <w:r w:rsidRPr="309032A4">
              <w:rPr>
                <w:sz w:val="12"/>
                <w:szCs w:val="12"/>
              </w:rPr>
              <w:t xml:space="preserve"> no caching for duplicates (A2 §5.5).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F815FD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Single “user” table with “user_type”, caching duplicates not allowed, and database has the authoritative say.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706A72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Merging the tables is simpler without weakening RBAC. A2 §5.2 requires all-or-nothing saves. A2 §5.3 gave the validation layers. A2 §5.4.1 favoured pre-save checks over idempotency keys as proportionate for M2. A2 §5.5 warned against caching due to staleness. A2 §5.6 recommended the Database+App hybrid, which we followed.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06199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The “user_type” must be a filter usage for users (R10). Duplicates still possible due to no idempotency (R13).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9CD751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R01, R02, R06, R10, R13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D02C3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SEN381 Assignment 2, Task 2, §5.1–5.6; PED v2.0 §8.3 and §8.5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FBF7E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Make update to this when submission endpoint is done. Make visit to</w:t>
            </w:r>
            <w:r w:rsidRPr="309032A4">
              <w:rPr>
                <w:sz w:val="12"/>
                <w:szCs w:val="12"/>
              </w:rPr>
              <w:t xml:space="preserve"> idempotency keys </w:t>
            </w:r>
            <w:r w:rsidRPr="6F117D5F">
              <w:rPr>
                <w:sz w:val="12"/>
                <w:szCs w:val="12"/>
              </w:rPr>
              <w:t>during</w:t>
            </w:r>
            <w:r w:rsidRPr="309032A4">
              <w:rPr>
                <w:sz w:val="12"/>
                <w:szCs w:val="12"/>
              </w:rPr>
              <w:t xml:space="preserve"> M3.</w:t>
            </w:r>
          </w:p>
        </w:tc>
      </w:tr>
      <w:tr w:rsidR="00D634E2" w14:paraId="08F9F2B5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91EABC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D09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7074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M2 must fix the system structure before construction; ten ASRs (§6).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1059D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ASR-001, ASR-002, ASR-007, ASR-008, ASR-009; CON-RES-01; CON-SCH-01.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523A8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Microservices; serverless functions + hosted backend; unstructured monolith (§7.2).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D4A0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Layered modular monolith: one React client, one Express API with five modules (User, Request, Staff, Admin, Notification) and five logical layers, one PostgreSQL database.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EDE37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Highest weighted score (89/100). One transaction boundary for ASR-007/009 and one enforcement point for ASR-002, with module boundaries for ASR-008 (Fowler, 2015; Richards and Ford, 2020).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C9BB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More folders and interfaces than a flat app; the API scales as one unit; one crash stops all modules.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BAFE6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R10 (boundary erosion); R05 (single database).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BE657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§7, Figures 7-1 to 7-3; repository folder structure (README).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B0D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Review in M3; a module could be extracted later without rewriting domain code.</w:t>
            </w:r>
          </w:p>
        </w:tc>
      </w:tr>
      <w:tr w:rsidR="00D634E2" w14:paraId="7B8FA559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0C6BE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3561A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Status vocabulary differs across REQ-004, REQ-013, REQ-017, REQ-022, §8.1 and §12.2; S-IN-007 needs reject, cancel and reopen.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1376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ASR-007, ASR-009; S-IN-007.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E6AF6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Keep per-requirement wording and translate in the UI; free-text status.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E2CA9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Seven stored states: Pending, Accepted, In Progress, Completed, Closed, Rejected, Cancelled. Open and Overdue are derived.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83F9F2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Screens, audit and reports read the same values; invalid moves become a tested domain rule (409).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89E24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Needs CR-003 to reword baselined criteria.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421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R11.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22C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PED v2.0 §7.5, Figure 7-4, Table 7-3.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1803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Section 8 CHECK constraint and §12.2 status values follow D10.</w:t>
            </w:r>
          </w:p>
        </w:tc>
      </w:tr>
      <w:tr w:rsidR="00D634E2" w14:paraId="31DB89D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74789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D11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102485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Requester notifications (REQ-006, REQ-026, ASR-008) with channels that can be added or replaced; email provider now also needed for registration confirmation.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5BC4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ASR-008; S-IN-003 and S-DEF-002 (scope); ASR-001.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6132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Direct notification service (A2 Task 1 §2.2); Strategy + adapters (A2 §2.3).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BA24D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NotificationChannel interface; EmailNotificationChannel built, SMS deferred; one MailSender adapter (Nodemailer, MIT-0) shared with registration confirmation. In-app feedback reads the action table.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3821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A2 condition for Strategy is met; provider changes touch one adapter; email failure never rolls back core writes (§12.1, R07).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42016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Two small interfaces to maintain.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3D6314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R07, R14, R16.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EBDC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§11.1, Figure 11-1; A2 Task 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22D29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Status emails switched on only if CR-005 is approved; SMS added later as one class.</w:t>
            </w:r>
          </w:p>
        </w:tc>
      </w:tr>
      <w:tr w:rsidR="00D634E2" w14:paraId="5DF276C6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4A273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18F45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 status change must update the request and its audit row together and may trigger notifications and future escalation.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269EC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ASR-005, ASR-007, ASR-009.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650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Pure orchestration (A2 Task 1 §3.2); pure Observer (A2 §3.3).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F167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Hybrid (A2 §3.5): request update + action row in one transaction; RequestStatusChanged published after COMMIT to handlers that are not awaited.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D80F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Audit guarantee visible in one method; new reactions added without editing the use case; slow email cannot delay the response.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84962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Dispatcher and handler registration add indirection.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24186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R06, R10.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92585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PED v2.0 §7.6, §11.2, Figure 7-5.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B1540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Escalation (S-DEF-001) can be added as a handler.</w:t>
            </w:r>
          </w:p>
        </w:tc>
      </w:tr>
      <w:tr w:rsidR="00D634E2" w14:paraId="772D00F9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C3741B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49F20C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Lecturer requirement confirmed in M2: new accounts must confirm their email address before they can sign in.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D77FB7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ASR-002, ASR-003, ASR-001; REQ-023, REQ-033.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4B62A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No verification (baseline); email code at every sign-in; authenticator-app or passkey second factor.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46BF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Register with name, email and password (bcrypt, unchanged); a single-use confirmation link (stored only as a SHA-256 hash on the user row, 24-hour expiry)  is emailed; sign-in is refused until the email is confirmed.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7EF7F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Proves the requester owns the address used for notifications; blocks sign-ups in someone else's name; password sign-in unchanged (OWASP Authentication and Forgot Password cheat sheets; NIST SP 800-63B-4 treats email confirmation as outside its ban on email authentication).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C782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Email delivery needed at sign-up; unconfirmed accounts need clean-up; not a second factor.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A68C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R14, R15, R16.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B36B3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§11.3, Figure 11-2; CR-004.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262381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Adds three user attributes: email_verified, verification_token_hash, verification_expires_at (§8); three auth endpoints in §12.2; Nodemailer added to §9; a true second factor for staff is an M3 candidate.</w:t>
            </w:r>
          </w:p>
        </w:tc>
      </w:tr>
    </w:tbl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2C3AAA"/>
    <w:rsid w:val="005E503D"/>
    <w:rsid w:val="00840755"/>
    <w:rsid w:val="00941F58"/>
    <w:rsid w:val="00AB38C7"/>
    <w:rsid w:val="00D634E2"/>
    <w:rsid w:val="00DB4E1C"/>
    <w:rsid w:val="00E2457D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2</cp:revision>
  <dcterms:created xsi:type="dcterms:W3CDTF">2026-09-30T20:27:00Z</dcterms:created>
  <dcterms:modified xsi:type="dcterms:W3CDTF">2026-09-30T20:27:00Z</dcterms:modified>
</cp:coreProperties>
</file>