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EF2432" w14:textId="77777777" w:rsidR="00941F58" w:rsidRDefault="00941F58" w:rsidP="00941F58">
      <w:pPr>
        <w:pStyle w:val="Heading1"/>
        <w:rPr>
          <w:rFonts w:ascii="Times New Roman" w:eastAsia="Times New Roman" w:hAnsi="Times New Roman" w:cs="Times New Roman"/>
        </w:rPr>
      </w:pPr>
      <w:bookmarkStart w:id="0" w:name="_Toc1508682983"/>
      <w:r w:rsidRPr="06535A17">
        <w:rPr>
          <w:rFonts w:ascii="Times New Roman" w:eastAsia="Times New Roman" w:hAnsi="Times New Roman" w:cs="Times New Roman"/>
        </w:rPr>
        <w:t>9. Technology Stack Decision</w:t>
      </w:r>
      <w:bookmarkEnd w:id="0"/>
    </w:p>
    <w:p w14:paraId="444C8BD9" w14:textId="77777777" w:rsidR="00941F58" w:rsidRDefault="00941F58" w:rsidP="00941F58">
      <w:pPr>
        <w:pStyle w:val="Heading2"/>
      </w:pPr>
      <w:bookmarkStart w:id="1" w:name="_Toc587261889"/>
      <w:r>
        <w:t>9.1 Selection Criteria and ASR Alignment</w:t>
      </w:r>
      <w:bookmarkEnd w:id="1"/>
      <w:r>
        <w:t xml:space="preserve"> </w:t>
      </w:r>
    </w:p>
    <w:p w14:paraId="479DDD12" w14:textId="77777777" w:rsidR="00941F58" w:rsidRDefault="00941F58" w:rsidP="00941F58">
      <w:r w:rsidRPr="451ED7B7">
        <w:t>With CON-TEC-02, CON-RES-05 and CON-CST</w:t>
      </w:r>
      <w:r>
        <w:t>-01</w:t>
      </w:r>
      <w:r w:rsidRPr="451ED7B7">
        <w:t>/ CON- CST-02 in mind, technologies were evaluated against the approved the Architecturally Significant Requirements (ASR-001 to ASR-010), the teams skill set (CON-RES-01), the delivery schedule (CON-SCH-01), the budget constrains (ASR-001), supply-chain security (CON-SEC-05) and cross environment deployment compatibility (CON-TEC-03)</w:t>
      </w:r>
    </w:p>
    <w:p w14:paraId="0E36E232" w14:textId="77777777" w:rsidR="00941F58" w:rsidRDefault="00941F58" w:rsidP="00941F58">
      <w:pPr>
        <w:pStyle w:val="Heading2"/>
      </w:pPr>
      <w:bookmarkStart w:id="2" w:name="_Toc1287974378"/>
      <w:r>
        <w:t>9.2 Comparative Technology Matrix</w:t>
      </w:r>
      <w:bookmarkEnd w:id="2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794"/>
        <w:gridCol w:w="1788"/>
        <w:gridCol w:w="1752"/>
        <w:gridCol w:w="1832"/>
        <w:gridCol w:w="1850"/>
      </w:tblGrid>
      <w:tr w:rsidR="00941F58" w14:paraId="7ACE0921" w14:textId="77777777" w:rsidTr="005A0EB4">
        <w:trPr>
          <w:trHeight w:val="300"/>
        </w:trPr>
        <w:tc>
          <w:tcPr>
            <w:tcW w:w="1956" w:type="dxa"/>
            <w:shd w:val="clear" w:color="auto" w:fill="0A1D30" w:themeFill="text2" w:themeFillShade="BF"/>
          </w:tcPr>
          <w:p w14:paraId="6A9045CB" w14:textId="77777777" w:rsidR="00941F58" w:rsidRDefault="00941F58" w:rsidP="005A0EB4">
            <w:pPr>
              <w:rPr>
                <w:rFonts w:eastAsia="Calibri" w:cs="Calibri"/>
                <w:b/>
                <w:sz w:val="16"/>
                <w:szCs w:val="16"/>
              </w:rPr>
            </w:pPr>
            <w:r w:rsidRPr="6061DE9A">
              <w:rPr>
                <w:rFonts w:eastAsia="Calibri" w:cs="Calibri"/>
                <w:b/>
                <w:sz w:val="16"/>
                <w:szCs w:val="16"/>
              </w:rPr>
              <w:t>Architectural Tier / Concern</w:t>
            </w:r>
          </w:p>
        </w:tc>
        <w:tc>
          <w:tcPr>
            <w:tcW w:w="1956" w:type="dxa"/>
            <w:shd w:val="clear" w:color="auto" w:fill="0A1D30" w:themeFill="text2" w:themeFillShade="BF"/>
          </w:tcPr>
          <w:p w14:paraId="3BD26E57" w14:textId="77777777" w:rsidR="00941F58" w:rsidRDefault="00941F58" w:rsidP="005A0EB4">
            <w:pPr>
              <w:rPr>
                <w:rFonts w:eastAsia="Calibri" w:cs="Calibri"/>
                <w:b/>
                <w:sz w:val="16"/>
                <w:szCs w:val="16"/>
              </w:rPr>
            </w:pPr>
            <w:r w:rsidRPr="6061DE9A">
              <w:rPr>
                <w:rFonts w:eastAsia="Calibri" w:cs="Calibri"/>
                <w:b/>
                <w:sz w:val="16"/>
                <w:szCs w:val="16"/>
              </w:rPr>
              <w:t>Selected Technology</w:t>
            </w:r>
          </w:p>
        </w:tc>
        <w:tc>
          <w:tcPr>
            <w:tcW w:w="1956" w:type="dxa"/>
            <w:shd w:val="clear" w:color="auto" w:fill="0A1D30" w:themeFill="text2" w:themeFillShade="BF"/>
          </w:tcPr>
          <w:p w14:paraId="12DFC12C" w14:textId="77777777" w:rsidR="00941F58" w:rsidRDefault="00941F58" w:rsidP="005A0EB4">
            <w:pPr>
              <w:rPr>
                <w:rFonts w:eastAsia="Calibri" w:cs="Calibri"/>
                <w:b/>
                <w:sz w:val="16"/>
                <w:szCs w:val="16"/>
              </w:rPr>
            </w:pPr>
            <w:r w:rsidRPr="6061DE9A">
              <w:rPr>
                <w:rFonts w:eastAsia="Calibri" w:cs="Calibri"/>
                <w:b/>
                <w:sz w:val="16"/>
                <w:szCs w:val="16"/>
              </w:rPr>
              <w:t>Alternative Considered</w:t>
            </w:r>
          </w:p>
        </w:tc>
        <w:tc>
          <w:tcPr>
            <w:tcW w:w="1956" w:type="dxa"/>
            <w:shd w:val="clear" w:color="auto" w:fill="0A1D30" w:themeFill="text2" w:themeFillShade="BF"/>
          </w:tcPr>
          <w:p w14:paraId="2D0265FD" w14:textId="77777777" w:rsidR="00941F58" w:rsidRDefault="00941F58" w:rsidP="005A0EB4">
            <w:pPr>
              <w:rPr>
                <w:rFonts w:eastAsia="Calibri" w:cs="Calibri"/>
                <w:b/>
                <w:sz w:val="16"/>
                <w:szCs w:val="16"/>
              </w:rPr>
            </w:pPr>
            <w:r w:rsidRPr="6061DE9A">
              <w:rPr>
                <w:rFonts w:eastAsia="Calibri" w:cs="Calibri"/>
                <w:b/>
                <w:sz w:val="16"/>
                <w:szCs w:val="16"/>
              </w:rPr>
              <w:t>Evaluation Against ASRs, Constraints &amp; Research Evidence</w:t>
            </w:r>
          </w:p>
        </w:tc>
        <w:tc>
          <w:tcPr>
            <w:tcW w:w="1956" w:type="dxa"/>
            <w:shd w:val="clear" w:color="auto" w:fill="0A1D30" w:themeFill="text2" w:themeFillShade="BF"/>
          </w:tcPr>
          <w:p w14:paraId="500F6CCE" w14:textId="77777777" w:rsidR="00941F58" w:rsidRDefault="00941F58" w:rsidP="005A0EB4">
            <w:pPr>
              <w:rPr>
                <w:rFonts w:eastAsia="Calibri" w:cs="Calibri"/>
                <w:b/>
                <w:sz w:val="16"/>
                <w:szCs w:val="16"/>
              </w:rPr>
            </w:pPr>
            <w:r w:rsidRPr="6061DE9A">
              <w:rPr>
                <w:rFonts w:eastAsia="Calibri" w:cs="Calibri"/>
                <w:b/>
                <w:sz w:val="16"/>
                <w:szCs w:val="16"/>
              </w:rPr>
              <w:t>Licensing, Cost &amp; Dependency Risk</w:t>
            </w:r>
          </w:p>
        </w:tc>
      </w:tr>
      <w:tr w:rsidR="00941F58" w14:paraId="42621E8C" w14:textId="77777777" w:rsidTr="005A0EB4">
        <w:trPr>
          <w:trHeight w:val="300"/>
        </w:trPr>
        <w:tc>
          <w:tcPr>
            <w:tcW w:w="1956" w:type="dxa"/>
          </w:tcPr>
          <w:p w14:paraId="4D411F37" w14:textId="77777777" w:rsidR="00941F58" w:rsidRDefault="00941F58" w:rsidP="005A0EB4">
            <w:pPr>
              <w:rPr>
                <w:rFonts w:eastAsia="Calibri" w:cs="Calibri"/>
                <w:sz w:val="16"/>
                <w:szCs w:val="16"/>
              </w:rPr>
            </w:pPr>
            <w:r w:rsidRPr="34BCA13F">
              <w:rPr>
                <w:rFonts w:eastAsia="Calibri" w:cs="Calibri"/>
                <w:b/>
                <w:sz w:val="16"/>
                <w:szCs w:val="16"/>
              </w:rPr>
              <w:t>Client / Presentation Layer</w:t>
            </w:r>
            <w:r w:rsidRPr="34BCA13F">
              <w:rPr>
                <w:rFonts w:eastAsia="Calibri" w:cs="Calibri"/>
                <w:sz w:val="16"/>
                <w:szCs w:val="16"/>
              </w:rPr>
              <w:t xml:space="preserve"> (User, Staff, Admin UI views)</w:t>
            </w:r>
          </w:p>
        </w:tc>
        <w:tc>
          <w:tcPr>
            <w:tcW w:w="1956" w:type="dxa"/>
          </w:tcPr>
          <w:p w14:paraId="56574DEE" w14:textId="77777777" w:rsidR="00941F58" w:rsidRDefault="00941F58" w:rsidP="005A0EB4">
            <w:pPr>
              <w:rPr>
                <w:rFonts w:eastAsia="Calibri" w:cs="Calibri"/>
                <w:sz w:val="16"/>
                <w:szCs w:val="16"/>
              </w:rPr>
            </w:pPr>
            <w:r w:rsidRPr="34BCA13F">
              <w:rPr>
                <w:rFonts w:eastAsia="Calibri" w:cs="Calibri"/>
                <w:b/>
                <w:sz w:val="16"/>
                <w:szCs w:val="16"/>
              </w:rPr>
              <w:t>React</w:t>
            </w:r>
            <w:r w:rsidRPr="34BCA13F">
              <w:rPr>
                <w:rFonts w:eastAsia="Calibri" w:cs="Calibri"/>
                <w:sz w:val="16"/>
                <w:szCs w:val="16"/>
              </w:rPr>
              <w:t xml:space="preserve"> (SPA via Vite) + Responsive CSS</w:t>
            </w:r>
          </w:p>
        </w:tc>
        <w:tc>
          <w:tcPr>
            <w:tcW w:w="1956" w:type="dxa"/>
          </w:tcPr>
          <w:p w14:paraId="6E559234" w14:textId="77777777" w:rsidR="00941F58" w:rsidRDefault="00941F58" w:rsidP="005A0EB4">
            <w:pPr>
              <w:rPr>
                <w:rFonts w:eastAsia="Calibri" w:cs="Calibri"/>
                <w:sz w:val="16"/>
                <w:szCs w:val="16"/>
              </w:rPr>
            </w:pPr>
            <w:r w:rsidRPr="34BCA13F">
              <w:rPr>
                <w:rFonts w:eastAsia="Calibri" w:cs="Calibri"/>
                <w:sz w:val="16"/>
                <w:szCs w:val="16"/>
              </w:rPr>
              <w:t>Native Mobile Apps (Android/iOS) or Angular</w:t>
            </w:r>
          </w:p>
        </w:tc>
        <w:tc>
          <w:tcPr>
            <w:tcW w:w="1956" w:type="dxa"/>
          </w:tcPr>
          <w:p w14:paraId="63D6C090" w14:textId="77777777" w:rsidR="00941F58" w:rsidRDefault="00941F58" w:rsidP="005A0EB4">
            <w:pPr>
              <w:rPr>
                <w:rFonts w:eastAsia="Calibri" w:cs="Calibri"/>
                <w:sz w:val="16"/>
                <w:szCs w:val="16"/>
              </w:rPr>
            </w:pPr>
            <w:r w:rsidRPr="34BCA13F">
              <w:rPr>
                <w:rFonts w:eastAsia="Calibri" w:cs="Calibri"/>
                <w:sz w:val="16"/>
                <w:szCs w:val="16"/>
              </w:rPr>
              <w:t>Satisfies ASR-010 (REQ-032, NFR-008) by delivering a single responsive web codebase across phone, tablet, laptop, and desktop devices while respecting S-OUT-002 (native apps excluded). Peer-reviewed mobile engineering research confirms that while native apps offer hardware-level optimization, responsive web applications eliminate multi-platform maintenance overhead for small teams (Horn et al., 2023). Aligns with existing team capability (AI-017).</w:t>
            </w:r>
          </w:p>
        </w:tc>
        <w:tc>
          <w:tcPr>
            <w:tcW w:w="1956" w:type="dxa"/>
          </w:tcPr>
          <w:p w14:paraId="40A62EE7" w14:textId="77777777" w:rsidR="00941F58" w:rsidRDefault="00941F58" w:rsidP="005A0EB4">
            <w:pPr>
              <w:rPr>
                <w:rFonts w:eastAsia="Calibri" w:cs="Calibri"/>
                <w:sz w:val="16"/>
                <w:szCs w:val="16"/>
              </w:rPr>
            </w:pPr>
            <w:r w:rsidRPr="34BCA13F">
              <w:rPr>
                <w:rFonts w:eastAsia="Calibri" w:cs="Calibri"/>
                <w:b/>
                <w:sz w:val="16"/>
                <w:szCs w:val="16"/>
              </w:rPr>
              <w:t>MIT License</w:t>
            </w:r>
            <w:r w:rsidRPr="34BCA13F">
              <w:rPr>
                <w:rFonts w:eastAsia="Calibri" w:cs="Calibri"/>
                <w:sz w:val="16"/>
                <w:szCs w:val="16"/>
              </w:rPr>
              <w:t xml:space="preserve"> (R0 cost, satisfies ASR-001). Mitigates R08 (cross-device rendering failure)</w:t>
            </w:r>
          </w:p>
        </w:tc>
      </w:tr>
      <w:tr w:rsidR="00941F58" w14:paraId="1F332ABB" w14:textId="77777777" w:rsidTr="005A0EB4">
        <w:trPr>
          <w:trHeight w:val="300"/>
        </w:trPr>
        <w:tc>
          <w:tcPr>
            <w:tcW w:w="1956" w:type="dxa"/>
          </w:tcPr>
          <w:p w14:paraId="493AB767" w14:textId="77777777" w:rsidR="00941F58" w:rsidRDefault="00941F58" w:rsidP="005A0EB4">
            <w:pPr>
              <w:rPr>
                <w:rFonts w:eastAsia="Calibri" w:cs="Calibri"/>
                <w:sz w:val="16"/>
                <w:szCs w:val="16"/>
              </w:rPr>
            </w:pPr>
            <w:r w:rsidRPr="00716C53">
              <w:rPr>
                <w:rFonts w:eastAsia="Calibri" w:cs="Calibri"/>
                <w:b/>
                <w:bCs/>
                <w:sz w:val="16"/>
                <w:szCs w:val="16"/>
              </w:rPr>
              <w:t>Application / API Runtime</w:t>
            </w:r>
            <w:r w:rsidRPr="00716C53">
              <w:rPr>
                <w:rFonts w:eastAsia="Calibri" w:cs="Calibri"/>
                <w:sz w:val="16"/>
                <w:szCs w:val="16"/>
              </w:rPr>
              <w:t xml:space="preserve"> (User, Request, Staff, Admin, Notification modules)</w:t>
            </w:r>
          </w:p>
        </w:tc>
        <w:tc>
          <w:tcPr>
            <w:tcW w:w="1956" w:type="dxa"/>
          </w:tcPr>
          <w:p w14:paraId="6C9ABC63" w14:textId="77777777" w:rsidR="00941F58" w:rsidRDefault="00941F58" w:rsidP="005A0EB4">
            <w:pPr>
              <w:rPr>
                <w:rFonts w:eastAsia="Calibri" w:cs="Calibri"/>
                <w:b/>
                <w:sz w:val="16"/>
                <w:szCs w:val="16"/>
              </w:rPr>
            </w:pPr>
            <w:r w:rsidRPr="34BCA13F">
              <w:rPr>
                <w:rFonts w:eastAsia="Calibri" w:cs="Calibri"/>
                <w:b/>
                <w:sz w:val="16"/>
                <w:szCs w:val="16"/>
              </w:rPr>
              <w:t>Node.js</w:t>
            </w:r>
            <w:r w:rsidRPr="34BCA13F">
              <w:rPr>
                <w:rFonts w:eastAsia="Calibri" w:cs="Calibri"/>
                <w:sz w:val="16"/>
                <w:szCs w:val="16"/>
              </w:rPr>
              <w:t xml:space="preserve"> + </w:t>
            </w:r>
            <w:r w:rsidRPr="34BCA13F">
              <w:rPr>
                <w:rFonts w:eastAsia="Calibri" w:cs="Calibri"/>
                <w:b/>
                <w:sz w:val="16"/>
                <w:szCs w:val="16"/>
              </w:rPr>
              <w:t>Express.js</w:t>
            </w:r>
            <w:r>
              <w:rPr>
                <w:rFonts w:eastAsia="Calibri" w:cs="Calibri"/>
                <w:b/>
                <w:sz w:val="16"/>
                <w:szCs w:val="16"/>
              </w:rPr>
              <w:t xml:space="preserve"> + Nodemailer</w:t>
            </w:r>
          </w:p>
        </w:tc>
        <w:tc>
          <w:tcPr>
            <w:tcW w:w="1956" w:type="dxa"/>
          </w:tcPr>
          <w:p w14:paraId="073A173B" w14:textId="77777777" w:rsidR="00941F58" w:rsidRDefault="00941F58" w:rsidP="005A0EB4">
            <w:pPr>
              <w:rPr>
                <w:rFonts w:eastAsia="Calibri" w:cs="Calibri"/>
                <w:sz w:val="16"/>
                <w:szCs w:val="16"/>
              </w:rPr>
            </w:pPr>
            <w:r w:rsidRPr="34BCA13F">
              <w:rPr>
                <w:rFonts w:eastAsia="Calibri" w:cs="Calibri"/>
                <w:sz w:val="16"/>
                <w:szCs w:val="16"/>
              </w:rPr>
              <w:t>ASP.NET Core (C#) or Spring Boot (Java)</w:t>
            </w:r>
          </w:p>
        </w:tc>
        <w:tc>
          <w:tcPr>
            <w:tcW w:w="1956" w:type="dxa"/>
          </w:tcPr>
          <w:p w14:paraId="5A99F040" w14:textId="77777777" w:rsidR="00941F58" w:rsidRDefault="00941F58" w:rsidP="005A0EB4">
            <w:pPr>
              <w:rPr>
                <w:rFonts w:eastAsia="Calibri" w:cs="Calibri"/>
                <w:sz w:val="16"/>
                <w:szCs w:val="16"/>
              </w:rPr>
            </w:pPr>
            <w:r w:rsidRPr="006048B9">
              <w:rPr>
                <w:rFonts w:eastAsia="Calibri" w:cs="Calibri"/>
                <w:sz w:val="16"/>
                <w:szCs w:val="16"/>
              </w:rPr>
              <w:t xml:space="preserve">Satisfies ASR-005 (REQ-025 &lt;10s processing, REQ-035 &lt;30s submission) and ASR-006 (REQ-037 210 concurrent users) via an event-driven, non-blocking I/O execution model. Nodemailer implements the </w:t>
            </w:r>
            <w:proofErr w:type="spellStart"/>
            <w:r w:rsidRPr="006048B9">
              <w:rPr>
                <w:rFonts w:eastAsia="Calibri" w:cs="Calibri"/>
                <w:sz w:val="16"/>
                <w:szCs w:val="16"/>
              </w:rPr>
              <w:t>MailSender</w:t>
            </w:r>
            <w:proofErr w:type="spellEnd"/>
            <w:r w:rsidRPr="006048B9">
              <w:rPr>
                <w:rFonts w:eastAsia="Calibri" w:cs="Calibri"/>
                <w:sz w:val="16"/>
                <w:szCs w:val="16"/>
              </w:rPr>
              <w:t xml:space="preserve"> adapter (D11) for ASR-008 notifications. Sharing JavaScript/JSON across client and server reduces context-switching friction across the 3-person team (CON-RES-01, CON-RES-05).</w:t>
            </w:r>
          </w:p>
        </w:tc>
        <w:tc>
          <w:tcPr>
            <w:tcW w:w="1956" w:type="dxa"/>
          </w:tcPr>
          <w:p w14:paraId="5EA29B78" w14:textId="77777777" w:rsidR="00941F58" w:rsidRDefault="00941F58" w:rsidP="005A0EB4">
            <w:pPr>
              <w:rPr>
                <w:rFonts w:eastAsia="Calibri" w:cs="Calibri"/>
                <w:sz w:val="16"/>
                <w:szCs w:val="16"/>
              </w:rPr>
            </w:pPr>
            <w:r w:rsidRPr="34BCA13F">
              <w:rPr>
                <w:rFonts w:eastAsia="Calibri" w:cs="Calibri"/>
                <w:b/>
                <w:sz w:val="16"/>
                <w:szCs w:val="16"/>
              </w:rPr>
              <w:t xml:space="preserve">MIT / </w:t>
            </w:r>
            <w:proofErr w:type="spellStart"/>
            <w:r w:rsidRPr="34BCA13F">
              <w:rPr>
                <w:rFonts w:eastAsia="Calibri" w:cs="Calibri"/>
                <w:b/>
                <w:sz w:val="16"/>
                <w:szCs w:val="16"/>
              </w:rPr>
              <w:t>OpenJS</w:t>
            </w:r>
            <w:proofErr w:type="spellEnd"/>
            <w:r w:rsidRPr="34BCA13F">
              <w:rPr>
                <w:rFonts w:eastAsia="Calibri" w:cs="Calibri"/>
                <w:b/>
                <w:sz w:val="16"/>
                <w:szCs w:val="16"/>
              </w:rPr>
              <w:t xml:space="preserve"> License</w:t>
            </w:r>
            <w:r w:rsidRPr="34BCA13F">
              <w:rPr>
                <w:rFonts w:eastAsia="Calibri" w:cs="Calibri"/>
                <w:sz w:val="16"/>
                <w:szCs w:val="16"/>
              </w:rPr>
              <w:t xml:space="preserve"> (R0 cost). Requires </w:t>
            </w:r>
            <w:proofErr w:type="spellStart"/>
            <w:r w:rsidRPr="34BCA13F">
              <w:rPr>
                <w:rFonts w:eastAsia="Calibri" w:cs="Calibri"/>
                <w:sz w:val="16"/>
                <w:szCs w:val="16"/>
              </w:rPr>
              <w:t>lockfile</w:t>
            </w:r>
            <w:proofErr w:type="spellEnd"/>
            <w:r w:rsidRPr="34BCA13F">
              <w:rPr>
                <w:rFonts w:eastAsia="Calibri" w:cs="Calibri"/>
                <w:sz w:val="16"/>
                <w:szCs w:val="16"/>
              </w:rPr>
              <w:t xml:space="preserve"> pinning (package-</w:t>
            </w:r>
            <w:proofErr w:type="spellStart"/>
            <w:proofErr w:type="gramStart"/>
            <w:r w:rsidRPr="34BCA13F">
              <w:rPr>
                <w:rFonts w:eastAsia="Calibri" w:cs="Calibri"/>
                <w:sz w:val="16"/>
                <w:szCs w:val="16"/>
              </w:rPr>
              <w:t>lock.json</w:t>
            </w:r>
            <w:proofErr w:type="spellEnd"/>
            <w:proofErr w:type="gramEnd"/>
            <w:r w:rsidRPr="34BCA13F">
              <w:rPr>
                <w:rFonts w:eastAsia="Calibri" w:cs="Calibri"/>
                <w:sz w:val="16"/>
                <w:szCs w:val="16"/>
              </w:rPr>
              <w:t>) to mitigate transitive npm package risks (CON-SEC-05)</w:t>
            </w:r>
          </w:p>
        </w:tc>
      </w:tr>
      <w:tr w:rsidR="00941F58" w14:paraId="09E5D410" w14:textId="77777777" w:rsidTr="005A0EB4">
        <w:trPr>
          <w:trHeight w:val="300"/>
        </w:trPr>
        <w:tc>
          <w:tcPr>
            <w:tcW w:w="1956" w:type="dxa"/>
          </w:tcPr>
          <w:p w14:paraId="08FAFD23" w14:textId="77777777" w:rsidR="00941F58" w:rsidRDefault="00941F58" w:rsidP="005A0EB4">
            <w:pPr>
              <w:rPr>
                <w:rFonts w:eastAsia="Calibri" w:cs="Calibri"/>
                <w:sz w:val="16"/>
                <w:szCs w:val="16"/>
              </w:rPr>
            </w:pPr>
            <w:r w:rsidRPr="003F698A">
              <w:rPr>
                <w:rFonts w:eastAsia="Calibri" w:cs="Calibri"/>
                <w:b/>
                <w:bCs/>
                <w:sz w:val="16"/>
                <w:szCs w:val="16"/>
              </w:rPr>
              <w:lastRenderedPageBreak/>
              <w:t>Data &amp; Persistence Layer</w:t>
            </w:r>
            <w:r w:rsidRPr="003F698A">
              <w:rPr>
                <w:rFonts w:eastAsia="Calibri" w:cs="Calibri"/>
                <w:sz w:val="16"/>
                <w:szCs w:val="16"/>
              </w:rPr>
              <w:t xml:space="preserve"> (user, </w:t>
            </w:r>
            <w:proofErr w:type="spellStart"/>
            <w:r w:rsidRPr="003F698A">
              <w:rPr>
                <w:rFonts w:eastAsia="Calibri" w:cs="Calibri"/>
                <w:sz w:val="16"/>
                <w:szCs w:val="16"/>
              </w:rPr>
              <w:t>service_request</w:t>
            </w:r>
            <w:proofErr w:type="spellEnd"/>
            <w:r w:rsidRPr="003F698A">
              <w:rPr>
                <w:rFonts w:eastAsia="Calibri" w:cs="Calibri"/>
                <w:sz w:val="16"/>
                <w:szCs w:val="16"/>
              </w:rPr>
              <w:t>, action, logging tables)</w:t>
            </w:r>
          </w:p>
        </w:tc>
        <w:tc>
          <w:tcPr>
            <w:tcW w:w="1956" w:type="dxa"/>
          </w:tcPr>
          <w:p w14:paraId="1FCDD9D8" w14:textId="77777777" w:rsidR="00941F58" w:rsidRDefault="00941F58" w:rsidP="005A0EB4">
            <w:pPr>
              <w:rPr>
                <w:rFonts w:eastAsia="Calibri" w:cs="Calibri"/>
                <w:sz w:val="16"/>
                <w:szCs w:val="16"/>
              </w:rPr>
            </w:pPr>
            <w:r w:rsidRPr="34BCA13F">
              <w:rPr>
                <w:rFonts w:eastAsia="Calibri" w:cs="Calibri"/>
                <w:b/>
                <w:sz w:val="16"/>
                <w:szCs w:val="16"/>
              </w:rPr>
              <w:t>PostgreSQL</w:t>
            </w:r>
            <w:r w:rsidRPr="34BCA13F">
              <w:rPr>
                <w:rFonts w:eastAsia="Calibri" w:cs="Calibri"/>
                <w:sz w:val="16"/>
                <w:szCs w:val="16"/>
              </w:rPr>
              <w:t xml:space="preserve"> + node-</w:t>
            </w:r>
            <w:proofErr w:type="spellStart"/>
            <w:r w:rsidRPr="34BCA13F">
              <w:rPr>
                <w:rFonts w:eastAsia="Calibri" w:cs="Calibri"/>
                <w:sz w:val="16"/>
                <w:szCs w:val="16"/>
              </w:rPr>
              <w:t>postgres</w:t>
            </w:r>
            <w:proofErr w:type="spellEnd"/>
            <w:r w:rsidRPr="34BCA13F">
              <w:rPr>
                <w:rFonts w:eastAsia="Calibri" w:cs="Calibri"/>
                <w:sz w:val="16"/>
                <w:szCs w:val="16"/>
              </w:rPr>
              <w:t xml:space="preserve"> (</w:t>
            </w:r>
            <w:proofErr w:type="spellStart"/>
            <w:r w:rsidRPr="34BCA13F">
              <w:rPr>
                <w:rFonts w:eastAsia="Calibri" w:cs="Calibri"/>
                <w:sz w:val="16"/>
                <w:szCs w:val="16"/>
              </w:rPr>
              <w:t>pg</w:t>
            </w:r>
            <w:proofErr w:type="spellEnd"/>
            <w:r w:rsidRPr="34BCA13F">
              <w:rPr>
                <w:rFonts w:eastAsia="Calibri" w:cs="Calibri"/>
                <w:sz w:val="16"/>
                <w:szCs w:val="16"/>
              </w:rPr>
              <w:t>)</w:t>
            </w:r>
          </w:p>
        </w:tc>
        <w:tc>
          <w:tcPr>
            <w:tcW w:w="1956" w:type="dxa"/>
          </w:tcPr>
          <w:p w14:paraId="372AFACD" w14:textId="77777777" w:rsidR="00941F58" w:rsidRDefault="00941F58" w:rsidP="005A0EB4">
            <w:pPr>
              <w:rPr>
                <w:rFonts w:eastAsia="Calibri" w:cs="Calibri"/>
                <w:sz w:val="16"/>
                <w:szCs w:val="16"/>
              </w:rPr>
            </w:pPr>
            <w:r w:rsidRPr="34BCA13F">
              <w:rPr>
                <w:rFonts w:eastAsia="Calibri" w:cs="Calibri"/>
                <w:sz w:val="16"/>
                <w:szCs w:val="16"/>
              </w:rPr>
              <w:t>MongoDB (Document NoSQL)</w:t>
            </w:r>
          </w:p>
        </w:tc>
        <w:tc>
          <w:tcPr>
            <w:tcW w:w="1956" w:type="dxa"/>
          </w:tcPr>
          <w:p w14:paraId="06E46151" w14:textId="71155098" w:rsidR="00941F58" w:rsidRDefault="00831B63" w:rsidP="005A0EB4">
            <w:pPr>
              <w:rPr>
                <w:rFonts w:eastAsia="Calibri" w:cs="Calibri"/>
                <w:sz w:val="16"/>
                <w:szCs w:val="16"/>
              </w:rPr>
            </w:pPr>
            <w:r w:rsidRPr="00831B63">
              <w:rPr>
                <w:rFonts w:eastAsia="Calibri" w:cs="Calibri"/>
                <w:sz w:val="16"/>
                <w:szCs w:val="16"/>
              </w:rPr>
              <w:t xml:space="preserve">Satisfies ASR-007 (REQ-022 uncorrupted transactional storage) and Section 8.4 persistence requirements. Enforces strict ACID transactions, relational foreign keys across the 9-entity normalized schema (user, </w:t>
            </w:r>
            <w:proofErr w:type="spellStart"/>
            <w:r w:rsidRPr="00831B63">
              <w:rPr>
                <w:rFonts w:eastAsia="Calibri" w:cs="Calibri"/>
                <w:sz w:val="16"/>
                <w:szCs w:val="16"/>
              </w:rPr>
              <w:t>service_request</w:t>
            </w:r>
            <w:proofErr w:type="spellEnd"/>
            <w:r w:rsidRPr="00831B63">
              <w:rPr>
                <w:rFonts w:eastAsia="Calibri" w:cs="Calibri"/>
                <w:sz w:val="16"/>
                <w:szCs w:val="16"/>
              </w:rPr>
              <w:t xml:space="preserve">, action, log, category, </w:t>
            </w:r>
            <w:proofErr w:type="spellStart"/>
            <w:r w:rsidRPr="00831B63">
              <w:rPr>
                <w:rFonts w:eastAsia="Calibri" w:cs="Calibri"/>
                <w:sz w:val="16"/>
                <w:szCs w:val="16"/>
              </w:rPr>
              <w:t>staff_category</w:t>
            </w:r>
            <w:proofErr w:type="spellEnd"/>
            <w:r w:rsidRPr="00831B63">
              <w:rPr>
                <w:rFonts w:eastAsia="Calibri" w:cs="Calibri"/>
                <w:sz w:val="16"/>
                <w:szCs w:val="16"/>
              </w:rPr>
              <w:t xml:space="preserve">, verification_token, </w:t>
            </w:r>
            <w:proofErr w:type="spellStart"/>
            <w:r w:rsidRPr="00831B63">
              <w:rPr>
                <w:rFonts w:eastAsia="Calibri" w:cs="Calibri"/>
                <w:sz w:val="16"/>
                <w:szCs w:val="16"/>
              </w:rPr>
              <w:t>action_status</w:t>
            </w:r>
            <w:proofErr w:type="spellEnd"/>
            <w:r w:rsidRPr="00831B63">
              <w:rPr>
                <w:rFonts w:eastAsia="Calibri" w:cs="Calibri"/>
                <w:sz w:val="16"/>
                <w:szCs w:val="16"/>
              </w:rPr>
              <w:t>, action_type), and domain constraints (NOT NULL, UNIQUE). Replaces simple CHECK constraints with strict referential integrity for statuses and categories. Automated AFTER audit triggers write diagnostic snapshots to the log table.</w:t>
            </w:r>
          </w:p>
        </w:tc>
        <w:tc>
          <w:tcPr>
            <w:tcW w:w="1956" w:type="dxa"/>
          </w:tcPr>
          <w:p w14:paraId="027627E9" w14:textId="6F2EB49F" w:rsidR="00941F58" w:rsidRDefault="00831B63" w:rsidP="005A0EB4">
            <w:pPr>
              <w:rPr>
                <w:rFonts w:eastAsia="Calibri" w:cs="Calibri"/>
                <w:sz w:val="16"/>
                <w:szCs w:val="16"/>
              </w:rPr>
            </w:pPr>
            <w:r w:rsidRPr="00831B63">
              <w:rPr>
                <w:rFonts w:eastAsia="Calibri" w:cs="Calibri"/>
                <w:sz w:val="16"/>
                <w:szCs w:val="16"/>
              </w:rPr>
              <w:t>PostgreSQL License (Open-source, R0 cost). Mitigates R06 (corrupted submission/rollback failure).</w:t>
            </w:r>
          </w:p>
        </w:tc>
      </w:tr>
      <w:tr w:rsidR="00941F58" w14:paraId="5A6F001B" w14:textId="77777777" w:rsidTr="005A0EB4">
        <w:trPr>
          <w:trHeight w:val="300"/>
        </w:trPr>
        <w:tc>
          <w:tcPr>
            <w:tcW w:w="1956" w:type="dxa"/>
          </w:tcPr>
          <w:p w14:paraId="5105290E" w14:textId="77777777" w:rsidR="00941F58" w:rsidRDefault="00941F58" w:rsidP="005A0EB4">
            <w:pPr>
              <w:rPr>
                <w:rFonts w:eastAsia="Calibri" w:cs="Calibri"/>
                <w:sz w:val="16"/>
                <w:szCs w:val="16"/>
              </w:rPr>
            </w:pPr>
            <w:r w:rsidRPr="34BCA13F">
              <w:rPr>
                <w:rFonts w:eastAsia="Calibri" w:cs="Calibri"/>
                <w:sz w:val="16"/>
                <w:szCs w:val="16"/>
              </w:rPr>
              <w:t>Authentication &amp; Credential Security</w:t>
            </w:r>
          </w:p>
        </w:tc>
        <w:tc>
          <w:tcPr>
            <w:tcW w:w="1956" w:type="dxa"/>
          </w:tcPr>
          <w:p w14:paraId="4E04D43E" w14:textId="77777777" w:rsidR="00941F58" w:rsidRDefault="00941F58" w:rsidP="005A0EB4">
            <w:pPr>
              <w:rPr>
                <w:rFonts w:eastAsia="Calibri" w:cs="Calibri"/>
                <w:b/>
                <w:sz w:val="16"/>
                <w:szCs w:val="16"/>
              </w:rPr>
            </w:pPr>
            <w:r w:rsidRPr="34BCA13F">
              <w:rPr>
                <w:rFonts w:eastAsia="Calibri" w:cs="Calibri"/>
                <w:b/>
                <w:sz w:val="16"/>
                <w:szCs w:val="16"/>
              </w:rPr>
              <w:t>JSON Web Tokens (</w:t>
            </w:r>
            <w:proofErr w:type="spellStart"/>
            <w:r w:rsidRPr="34BCA13F">
              <w:rPr>
                <w:rFonts w:eastAsia="Calibri" w:cs="Calibri"/>
                <w:b/>
                <w:sz w:val="16"/>
                <w:szCs w:val="16"/>
              </w:rPr>
              <w:t>jsonwebtoken</w:t>
            </w:r>
            <w:proofErr w:type="spellEnd"/>
            <w:r w:rsidRPr="34BCA13F">
              <w:rPr>
                <w:rFonts w:eastAsia="Calibri" w:cs="Calibri"/>
                <w:b/>
                <w:sz w:val="16"/>
                <w:szCs w:val="16"/>
              </w:rPr>
              <w:t>)</w:t>
            </w:r>
            <w:r w:rsidRPr="34BCA13F">
              <w:rPr>
                <w:rFonts w:eastAsia="Calibri" w:cs="Calibri"/>
                <w:sz w:val="16"/>
                <w:szCs w:val="16"/>
              </w:rPr>
              <w:t xml:space="preserve"> + </w:t>
            </w:r>
            <w:proofErr w:type="spellStart"/>
            <w:r w:rsidRPr="34BCA13F">
              <w:rPr>
                <w:rFonts w:eastAsia="Calibri" w:cs="Calibri"/>
                <w:b/>
                <w:sz w:val="16"/>
                <w:szCs w:val="16"/>
              </w:rPr>
              <w:t>bcrypt</w:t>
            </w:r>
            <w:proofErr w:type="spellEnd"/>
            <w:r>
              <w:rPr>
                <w:rFonts w:eastAsia="Calibri" w:cs="Calibri"/>
                <w:b/>
                <w:sz w:val="16"/>
                <w:szCs w:val="16"/>
              </w:rPr>
              <w:t xml:space="preserve"> </w:t>
            </w:r>
            <w:r w:rsidRPr="00EF2C95">
              <w:rPr>
                <w:rFonts w:eastAsia="Calibri" w:cs="Calibri"/>
                <w:bCs/>
                <w:sz w:val="16"/>
                <w:szCs w:val="16"/>
              </w:rPr>
              <w:t>(and Node crypto for CR-004)</w:t>
            </w:r>
          </w:p>
        </w:tc>
        <w:tc>
          <w:tcPr>
            <w:tcW w:w="1956" w:type="dxa"/>
          </w:tcPr>
          <w:p w14:paraId="2A4F3B19" w14:textId="77777777" w:rsidR="00941F58" w:rsidRDefault="00941F58" w:rsidP="005A0EB4">
            <w:pPr>
              <w:rPr>
                <w:rFonts w:eastAsia="Calibri" w:cs="Calibri"/>
                <w:sz w:val="16"/>
                <w:szCs w:val="16"/>
              </w:rPr>
            </w:pPr>
            <w:r w:rsidRPr="34BCA13F">
              <w:rPr>
                <w:rFonts w:eastAsia="Calibri" w:cs="Calibri"/>
                <w:sz w:val="16"/>
                <w:szCs w:val="16"/>
              </w:rPr>
              <w:t>Server-side In-Memory Sessions / Paid Auth0 (ASR-001 violation)</w:t>
            </w:r>
          </w:p>
        </w:tc>
        <w:tc>
          <w:tcPr>
            <w:tcW w:w="1956" w:type="dxa"/>
          </w:tcPr>
          <w:p w14:paraId="3C9AE920" w14:textId="77777777" w:rsidR="00941F58" w:rsidRDefault="00941F58" w:rsidP="005A0EB4">
            <w:pPr>
              <w:rPr>
                <w:rFonts w:eastAsia="Calibri" w:cs="Calibri"/>
                <w:sz w:val="16"/>
                <w:szCs w:val="16"/>
              </w:rPr>
            </w:pPr>
            <w:proofErr w:type="spellStart"/>
            <w:r w:rsidRPr="001F2029">
              <w:rPr>
                <w:rFonts w:eastAsia="Calibri" w:cs="Calibri"/>
                <w:sz w:val="16"/>
                <w:szCs w:val="16"/>
              </w:rPr>
              <w:t>bcrypt</w:t>
            </w:r>
            <w:proofErr w:type="spellEnd"/>
            <w:r w:rsidRPr="001F2029">
              <w:rPr>
                <w:rFonts w:eastAsia="Calibri" w:cs="Calibri"/>
                <w:sz w:val="16"/>
                <w:szCs w:val="16"/>
              </w:rPr>
              <w:t xml:space="preserve"> satisfies baseline ASR-003 (REQ-030 / NFR-006) by hashing </w:t>
            </w:r>
            <w:proofErr w:type="gramStart"/>
            <w:r w:rsidRPr="001F2029">
              <w:rPr>
                <w:rFonts w:eastAsia="Calibri" w:cs="Calibri"/>
                <w:sz w:val="16"/>
                <w:szCs w:val="16"/>
              </w:rPr>
              <w:t>user.password</w:t>
            </w:r>
            <w:proofErr w:type="gramEnd"/>
            <w:r w:rsidRPr="001F2029">
              <w:rPr>
                <w:rFonts w:eastAsia="Calibri" w:cs="Calibri"/>
                <w:sz w:val="16"/>
                <w:szCs w:val="16"/>
              </w:rPr>
              <w:t xml:space="preserve"> before persistence (while Node's built-in crypto SHA-256 supports hashed login_token secrets if CR-004/D13 is adopted). Stateless JWT middleware encodes user_id and user_type (requester, staff, management) to satisfy ASR-002 (REQ-029 RBAC) and ASR-006 (210 concurrent users without session-store memory bottlenecks) (Marquis, 2024).</w:t>
            </w:r>
          </w:p>
        </w:tc>
        <w:tc>
          <w:tcPr>
            <w:tcW w:w="1956" w:type="dxa"/>
          </w:tcPr>
          <w:p w14:paraId="1DEE4F90" w14:textId="77777777" w:rsidR="00941F58" w:rsidRDefault="00941F58" w:rsidP="005A0EB4">
            <w:pPr>
              <w:rPr>
                <w:rFonts w:eastAsia="Calibri" w:cs="Calibri"/>
                <w:sz w:val="16"/>
                <w:szCs w:val="16"/>
              </w:rPr>
            </w:pPr>
            <w:r w:rsidRPr="34BCA13F">
              <w:rPr>
                <w:rFonts w:eastAsia="Calibri" w:cs="Calibri"/>
                <w:b/>
                <w:sz w:val="16"/>
                <w:szCs w:val="16"/>
              </w:rPr>
              <w:t>MIT License</w:t>
            </w:r>
            <w:r w:rsidRPr="34BCA13F">
              <w:rPr>
                <w:rFonts w:eastAsia="Calibri" w:cs="Calibri"/>
                <w:sz w:val="16"/>
                <w:szCs w:val="16"/>
              </w:rPr>
              <w:t xml:space="preserve"> (R0 cost). Mitigates R01 (unauthorized role access) and R02 (credential exposure).</w:t>
            </w:r>
          </w:p>
        </w:tc>
      </w:tr>
      <w:tr w:rsidR="00941F58" w14:paraId="1220F0F1" w14:textId="77777777" w:rsidTr="005A0EB4">
        <w:trPr>
          <w:trHeight w:val="300"/>
        </w:trPr>
        <w:tc>
          <w:tcPr>
            <w:tcW w:w="1956" w:type="dxa"/>
          </w:tcPr>
          <w:p w14:paraId="6F63FFDF" w14:textId="77777777" w:rsidR="00941F58" w:rsidRDefault="00941F58" w:rsidP="005A0EB4">
            <w:pPr>
              <w:rPr>
                <w:rFonts w:eastAsia="Calibri" w:cs="Calibri"/>
                <w:sz w:val="16"/>
                <w:szCs w:val="16"/>
              </w:rPr>
            </w:pPr>
            <w:r w:rsidRPr="34BCA13F">
              <w:rPr>
                <w:rFonts w:eastAsia="Calibri" w:cs="Calibri"/>
                <w:sz w:val="16"/>
                <w:szCs w:val="16"/>
              </w:rPr>
              <w:t>Build, Dependency &amp; Quality Gate Tooling</w:t>
            </w:r>
          </w:p>
        </w:tc>
        <w:tc>
          <w:tcPr>
            <w:tcW w:w="1956" w:type="dxa"/>
          </w:tcPr>
          <w:p w14:paraId="6A5BF5B6" w14:textId="77777777" w:rsidR="00941F58" w:rsidRDefault="00941F58" w:rsidP="005A0EB4">
            <w:pPr>
              <w:rPr>
                <w:rFonts w:eastAsia="Calibri" w:cs="Calibri"/>
                <w:b/>
                <w:sz w:val="16"/>
                <w:szCs w:val="16"/>
              </w:rPr>
            </w:pPr>
            <w:r w:rsidRPr="34BCA13F">
              <w:rPr>
                <w:rFonts w:eastAsia="Calibri" w:cs="Calibri"/>
                <w:b/>
                <w:sz w:val="16"/>
                <w:szCs w:val="16"/>
              </w:rPr>
              <w:t>npm</w:t>
            </w:r>
            <w:r w:rsidRPr="34BCA13F">
              <w:rPr>
                <w:rFonts w:eastAsia="Calibri" w:cs="Calibri"/>
                <w:sz w:val="16"/>
                <w:szCs w:val="16"/>
              </w:rPr>
              <w:t xml:space="preserve"> (npm ci + package-</w:t>
            </w:r>
            <w:proofErr w:type="spellStart"/>
            <w:proofErr w:type="gramStart"/>
            <w:r w:rsidRPr="34BCA13F">
              <w:rPr>
                <w:rFonts w:eastAsia="Calibri" w:cs="Calibri"/>
                <w:sz w:val="16"/>
                <w:szCs w:val="16"/>
              </w:rPr>
              <w:t>lock.json</w:t>
            </w:r>
            <w:proofErr w:type="spellEnd"/>
            <w:proofErr w:type="gramEnd"/>
            <w:r w:rsidRPr="34BCA13F">
              <w:rPr>
                <w:rFonts w:eastAsia="Calibri" w:cs="Calibri"/>
                <w:sz w:val="16"/>
                <w:szCs w:val="16"/>
              </w:rPr>
              <w:t xml:space="preserve">), </w:t>
            </w:r>
            <w:proofErr w:type="spellStart"/>
            <w:r w:rsidRPr="34BCA13F">
              <w:rPr>
                <w:rFonts w:eastAsia="Calibri" w:cs="Calibri"/>
                <w:b/>
                <w:sz w:val="16"/>
                <w:szCs w:val="16"/>
              </w:rPr>
              <w:t>ESLint</w:t>
            </w:r>
            <w:proofErr w:type="spellEnd"/>
            <w:r w:rsidRPr="34BCA13F">
              <w:rPr>
                <w:rFonts w:eastAsia="Calibri" w:cs="Calibri"/>
                <w:sz w:val="16"/>
                <w:szCs w:val="16"/>
              </w:rPr>
              <w:t xml:space="preserve">, </w:t>
            </w:r>
            <w:r w:rsidRPr="34BCA13F">
              <w:rPr>
                <w:rFonts w:eastAsia="Calibri" w:cs="Calibri"/>
                <w:b/>
                <w:sz w:val="16"/>
                <w:szCs w:val="16"/>
              </w:rPr>
              <w:t>npm audit</w:t>
            </w:r>
          </w:p>
        </w:tc>
        <w:tc>
          <w:tcPr>
            <w:tcW w:w="1956" w:type="dxa"/>
          </w:tcPr>
          <w:p w14:paraId="64EE2FF1" w14:textId="77777777" w:rsidR="00941F58" w:rsidRDefault="00941F58" w:rsidP="005A0EB4">
            <w:pPr>
              <w:rPr>
                <w:rFonts w:eastAsia="Calibri" w:cs="Calibri"/>
                <w:sz w:val="16"/>
                <w:szCs w:val="16"/>
              </w:rPr>
            </w:pPr>
            <w:r w:rsidRPr="34BCA13F">
              <w:rPr>
                <w:rFonts w:eastAsia="Calibri" w:cs="Calibri"/>
                <w:sz w:val="16"/>
                <w:szCs w:val="16"/>
              </w:rPr>
              <w:t>Unpinned manual installs (npm install)</w:t>
            </w:r>
          </w:p>
        </w:tc>
        <w:tc>
          <w:tcPr>
            <w:tcW w:w="1956" w:type="dxa"/>
          </w:tcPr>
          <w:p w14:paraId="20B20ED0" w14:textId="77777777" w:rsidR="00941F58" w:rsidRDefault="00941F58" w:rsidP="005A0EB4">
            <w:pPr>
              <w:rPr>
                <w:rFonts w:eastAsia="Calibri" w:cs="Calibri"/>
                <w:sz w:val="16"/>
                <w:szCs w:val="16"/>
              </w:rPr>
            </w:pPr>
            <w:r w:rsidRPr="34BCA13F">
              <w:rPr>
                <w:rFonts w:eastAsia="Calibri" w:cs="Calibri"/>
                <w:sz w:val="16"/>
                <w:szCs w:val="16"/>
              </w:rPr>
              <w:t xml:space="preserve">Empirical research on package managers demonstrates that committed </w:t>
            </w:r>
            <w:proofErr w:type="spellStart"/>
            <w:r w:rsidRPr="34BCA13F">
              <w:rPr>
                <w:rFonts w:eastAsia="Calibri" w:cs="Calibri"/>
                <w:sz w:val="16"/>
                <w:szCs w:val="16"/>
              </w:rPr>
              <w:t>lockfiles</w:t>
            </w:r>
            <w:proofErr w:type="spellEnd"/>
            <w:r w:rsidRPr="34BCA13F">
              <w:rPr>
                <w:rFonts w:eastAsia="Calibri" w:cs="Calibri"/>
                <w:sz w:val="16"/>
                <w:szCs w:val="16"/>
              </w:rPr>
              <w:t xml:space="preserve"> (package-</w:t>
            </w:r>
            <w:proofErr w:type="spellStart"/>
            <w:proofErr w:type="gramStart"/>
            <w:r w:rsidRPr="34BCA13F">
              <w:rPr>
                <w:rFonts w:eastAsia="Calibri" w:cs="Calibri"/>
                <w:sz w:val="16"/>
                <w:szCs w:val="16"/>
              </w:rPr>
              <w:t>lock.json</w:t>
            </w:r>
            <w:proofErr w:type="spellEnd"/>
            <w:proofErr w:type="gramEnd"/>
            <w:r w:rsidRPr="34BCA13F">
              <w:rPr>
                <w:rFonts w:eastAsia="Calibri" w:cs="Calibri"/>
                <w:sz w:val="16"/>
                <w:szCs w:val="16"/>
              </w:rPr>
              <w:t>) paired with clean CI installations (npm ci) are essential to guarantee deterministic, repeatable builds across developer machines (Gamage et al., 2026). Satisfies CON-QUA-04 and CON-SEC-05</w:t>
            </w:r>
          </w:p>
        </w:tc>
        <w:tc>
          <w:tcPr>
            <w:tcW w:w="1956" w:type="dxa"/>
          </w:tcPr>
          <w:p w14:paraId="69EF085E" w14:textId="77777777" w:rsidR="00941F58" w:rsidRDefault="00941F58" w:rsidP="005A0EB4">
            <w:pPr>
              <w:rPr>
                <w:rFonts w:eastAsia="Calibri" w:cs="Calibri"/>
                <w:sz w:val="16"/>
                <w:szCs w:val="16"/>
              </w:rPr>
            </w:pPr>
            <w:r w:rsidRPr="34BCA13F">
              <w:rPr>
                <w:rFonts w:eastAsia="Calibri" w:cs="Calibri"/>
                <w:b/>
                <w:sz w:val="16"/>
                <w:szCs w:val="16"/>
              </w:rPr>
              <w:t>Open-Source / Built-in</w:t>
            </w:r>
            <w:r w:rsidRPr="34BCA13F">
              <w:rPr>
                <w:rFonts w:eastAsia="Calibri" w:cs="Calibri"/>
                <w:sz w:val="16"/>
                <w:szCs w:val="16"/>
              </w:rPr>
              <w:t xml:space="preserve"> (R0 cost). Prevents dependency drift between development and testing environments</w:t>
            </w:r>
          </w:p>
        </w:tc>
      </w:tr>
    </w:tbl>
    <w:p w14:paraId="14C80B85" w14:textId="77777777" w:rsidR="00941F58" w:rsidRDefault="00941F58" w:rsidP="00941F58"/>
    <w:p w14:paraId="596EA91C" w14:textId="77777777" w:rsidR="00941F58" w:rsidRDefault="00941F58" w:rsidP="00941F58">
      <w:pPr>
        <w:pStyle w:val="Heading2"/>
      </w:pPr>
      <w:bookmarkStart w:id="3" w:name="_Toc1112196396"/>
      <w:r>
        <w:lastRenderedPageBreak/>
        <w:t>9.3 Baseline Version and Compatibility Matrix</w:t>
      </w:r>
      <w:bookmarkEnd w:id="3"/>
    </w:p>
    <w:p w14:paraId="055A6F11" w14:textId="77777777" w:rsidR="00941F58" w:rsidRDefault="00941F58" w:rsidP="00941F58">
      <w:pPr>
        <w:rPr>
          <w:sz w:val="16"/>
          <w:szCs w:val="16"/>
        </w:rPr>
      </w:pPr>
      <w:r w:rsidRPr="34BCA13F">
        <w:rPr>
          <w:sz w:val="16"/>
          <w:szCs w:val="16"/>
        </w:rPr>
        <w:t>The Following versions are baselined across the application repository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3"/>
        <w:gridCol w:w="2981"/>
        <w:gridCol w:w="3072"/>
      </w:tblGrid>
      <w:tr w:rsidR="00941F58" w14:paraId="202FC780" w14:textId="77777777" w:rsidTr="005A0EB4">
        <w:tc>
          <w:tcPr>
            <w:tcW w:w="3260" w:type="dxa"/>
          </w:tcPr>
          <w:p w14:paraId="7963951F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Component</w:t>
            </w:r>
          </w:p>
        </w:tc>
        <w:tc>
          <w:tcPr>
            <w:tcW w:w="3261" w:type="dxa"/>
          </w:tcPr>
          <w:p w14:paraId="7C5CBE12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Baseline Version</w:t>
            </w:r>
          </w:p>
        </w:tc>
        <w:tc>
          <w:tcPr>
            <w:tcW w:w="3261" w:type="dxa"/>
          </w:tcPr>
          <w:p w14:paraId="0CF4A377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Compatibility &amp; Configuration Rule</w:t>
            </w:r>
          </w:p>
        </w:tc>
      </w:tr>
      <w:tr w:rsidR="00941F58" w14:paraId="17E922D8" w14:textId="77777777" w:rsidTr="005A0EB4">
        <w:tc>
          <w:tcPr>
            <w:tcW w:w="3260" w:type="dxa"/>
          </w:tcPr>
          <w:p w14:paraId="640546F9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Node.js Runtime</w:t>
            </w:r>
          </w:p>
        </w:tc>
        <w:tc>
          <w:tcPr>
            <w:tcW w:w="3261" w:type="dxa"/>
          </w:tcPr>
          <w:p w14:paraId="3980B79E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v20.x LTS</w:t>
            </w:r>
          </w:p>
        </w:tc>
        <w:tc>
          <w:tcPr>
            <w:tcW w:w="3261" w:type="dxa"/>
          </w:tcPr>
          <w:p w14:paraId="1A10F73A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Active Long-Term Support; enforced across all three developer environments.</w:t>
            </w:r>
          </w:p>
        </w:tc>
      </w:tr>
      <w:tr w:rsidR="00941F58" w14:paraId="6C7D683A" w14:textId="77777777" w:rsidTr="005A0EB4">
        <w:tc>
          <w:tcPr>
            <w:tcW w:w="3260" w:type="dxa"/>
          </w:tcPr>
          <w:p w14:paraId="65EA89D7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Express.js</w:t>
            </w:r>
          </w:p>
        </w:tc>
        <w:tc>
          <w:tcPr>
            <w:tcW w:w="3261" w:type="dxa"/>
          </w:tcPr>
          <w:p w14:paraId="71B6E0FB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^4.19.x</w:t>
            </w:r>
          </w:p>
        </w:tc>
        <w:tc>
          <w:tcPr>
            <w:tcW w:w="3261" w:type="dxa"/>
          </w:tcPr>
          <w:p w14:paraId="0FE20242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REST routing, request validation, and RBAC middleware execution</w:t>
            </w:r>
          </w:p>
        </w:tc>
      </w:tr>
      <w:tr w:rsidR="00941F58" w14:paraId="22760E5C" w14:textId="77777777" w:rsidTr="005A0EB4">
        <w:tc>
          <w:tcPr>
            <w:tcW w:w="3260" w:type="dxa"/>
          </w:tcPr>
          <w:p w14:paraId="22147980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PostgreSQL Engine</w:t>
            </w:r>
          </w:p>
        </w:tc>
        <w:tc>
          <w:tcPr>
            <w:tcW w:w="3261" w:type="dxa"/>
          </w:tcPr>
          <w:p w14:paraId="0685E3DE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v16.x</w:t>
            </w:r>
          </w:p>
        </w:tc>
        <w:tc>
          <w:tcPr>
            <w:tcW w:w="3261" w:type="dxa"/>
          </w:tcPr>
          <w:p w14:paraId="5983703F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Relational storage for Requester, Staff, Management, Service_Request, and Action schemas.</w:t>
            </w:r>
          </w:p>
        </w:tc>
      </w:tr>
      <w:tr w:rsidR="00941F58" w14:paraId="2763413A" w14:textId="77777777" w:rsidTr="005A0EB4">
        <w:tc>
          <w:tcPr>
            <w:tcW w:w="3260" w:type="dxa"/>
          </w:tcPr>
          <w:p w14:paraId="2611A15C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React &amp; React-DOM</w:t>
            </w:r>
          </w:p>
        </w:tc>
        <w:tc>
          <w:tcPr>
            <w:tcW w:w="3261" w:type="dxa"/>
          </w:tcPr>
          <w:p w14:paraId="0D681A45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^18.3.x</w:t>
            </w:r>
          </w:p>
        </w:tc>
        <w:tc>
          <w:tcPr>
            <w:tcW w:w="3261" w:type="dxa"/>
          </w:tcPr>
          <w:p w14:paraId="6DC4865B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Component-driven SPA rendering for Requester, Staff, and Management views</w:t>
            </w:r>
          </w:p>
        </w:tc>
      </w:tr>
      <w:tr w:rsidR="00941F58" w14:paraId="48D3E2A2" w14:textId="77777777" w:rsidTr="005A0EB4">
        <w:tc>
          <w:tcPr>
            <w:tcW w:w="3260" w:type="dxa"/>
          </w:tcPr>
          <w:p w14:paraId="25CA24C4" w14:textId="77777777" w:rsidR="00941F58" w:rsidRDefault="00941F58" w:rsidP="005A0EB4">
            <w:pPr>
              <w:rPr>
                <w:sz w:val="16"/>
                <w:szCs w:val="16"/>
              </w:rPr>
            </w:pPr>
            <w:proofErr w:type="spellStart"/>
            <w:r w:rsidRPr="34BCA13F">
              <w:rPr>
                <w:sz w:val="16"/>
                <w:szCs w:val="16"/>
              </w:rPr>
              <w:t>pg</w:t>
            </w:r>
            <w:proofErr w:type="spellEnd"/>
            <w:r w:rsidRPr="34BCA13F">
              <w:rPr>
                <w:sz w:val="16"/>
                <w:szCs w:val="16"/>
              </w:rPr>
              <w:t xml:space="preserve"> (node-</w:t>
            </w:r>
            <w:proofErr w:type="spellStart"/>
            <w:r w:rsidRPr="34BCA13F">
              <w:rPr>
                <w:sz w:val="16"/>
                <w:szCs w:val="16"/>
              </w:rPr>
              <w:t>postgres</w:t>
            </w:r>
            <w:proofErr w:type="spellEnd"/>
            <w:r w:rsidRPr="34BCA13F">
              <w:rPr>
                <w:sz w:val="16"/>
                <w:szCs w:val="16"/>
              </w:rPr>
              <w:t>)</w:t>
            </w:r>
          </w:p>
        </w:tc>
        <w:tc>
          <w:tcPr>
            <w:tcW w:w="3261" w:type="dxa"/>
          </w:tcPr>
          <w:p w14:paraId="56F12CBF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^8.11.x</w:t>
            </w:r>
          </w:p>
        </w:tc>
        <w:tc>
          <w:tcPr>
            <w:tcW w:w="3261" w:type="dxa"/>
          </w:tcPr>
          <w:p w14:paraId="7D4E8867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Parameterized SQL query execution and connection pooling (</w:t>
            </w:r>
            <w:proofErr w:type="spellStart"/>
            <w:proofErr w:type="gramStart"/>
            <w:r w:rsidRPr="34BCA13F">
              <w:rPr>
                <w:sz w:val="16"/>
                <w:szCs w:val="16"/>
              </w:rPr>
              <w:t>pg.Pool</w:t>
            </w:r>
            <w:proofErr w:type="spellEnd"/>
            <w:proofErr w:type="gramEnd"/>
            <w:r w:rsidRPr="34BCA13F">
              <w:rPr>
                <w:sz w:val="16"/>
                <w:szCs w:val="16"/>
              </w:rPr>
              <w:t>).</w:t>
            </w:r>
          </w:p>
        </w:tc>
      </w:tr>
      <w:tr w:rsidR="00941F58" w14:paraId="515C9C27" w14:textId="77777777" w:rsidTr="005A0EB4">
        <w:tc>
          <w:tcPr>
            <w:tcW w:w="3260" w:type="dxa"/>
          </w:tcPr>
          <w:p w14:paraId="03AA4D94" w14:textId="77777777" w:rsidR="00941F58" w:rsidRDefault="00941F58" w:rsidP="005A0EB4">
            <w:pPr>
              <w:rPr>
                <w:sz w:val="16"/>
                <w:szCs w:val="16"/>
              </w:rPr>
            </w:pPr>
            <w:proofErr w:type="spellStart"/>
            <w:r w:rsidRPr="34BCA13F">
              <w:rPr>
                <w:sz w:val="16"/>
                <w:szCs w:val="16"/>
              </w:rPr>
              <w:t>bcrypt</w:t>
            </w:r>
            <w:proofErr w:type="spellEnd"/>
            <w:r w:rsidRPr="34BCA13F">
              <w:rPr>
                <w:sz w:val="16"/>
                <w:szCs w:val="16"/>
              </w:rPr>
              <w:t xml:space="preserve"> &amp; </w:t>
            </w:r>
            <w:proofErr w:type="spellStart"/>
            <w:r w:rsidRPr="34BCA13F">
              <w:rPr>
                <w:sz w:val="16"/>
                <w:szCs w:val="16"/>
              </w:rPr>
              <w:t>jsonwebtoken</w:t>
            </w:r>
            <w:proofErr w:type="spellEnd"/>
          </w:p>
        </w:tc>
        <w:tc>
          <w:tcPr>
            <w:tcW w:w="3261" w:type="dxa"/>
          </w:tcPr>
          <w:p w14:paraId="376EC962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^5.1.x / ^9.0.x</w:t>
            </w:r>
          </w:p>
        </w:tc>
        <w:tc>
          <w:tcPr>
            <w:tcW w:w="3261" w:type="dxa"/>
          </w:tcPr>
          <w:p w14:paraId="30308B4B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Password hashing (ASR-003) and stateless RBAC token signing (ASR-002, ASR-006)</w:t>
            </w:r>
          </w:p>
        </w:tc>
      </w:tr>
      <w:tr w:rsidR="00941F58" w14:paraId="43F1D58C" w14:textId="77777777" w:rsidTr="005A0EB4">
        <w:tc>
          <w:tcPr>
            <w:tcW w:w="3260" w:type="dxa"/>
          </w:tcPr>
          <w:p w14:paraId="68DF7130" w14:textId="77777777" w:rsidR="00941F58" w:rsidRPr="34BCA13F" w:rsidRDefault="00941F58" w:rsidP="005A0EB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nodemailer</w:t>
            </w:r>
          </w:p>
        </w:tc>
        <w:tc>
          <w:tcPr>
            <w:tcW w:w="3261" w:type="dxa"/>
          </w:tcPr>
          <w:p w14:paraId="5F06234A" w14:textId="77777777" w:rsidR="00941F58" w:rsidRPr="34BCA13F" w:rsidRDefault="00941F58" w:rsidP="005A0EB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^6.9.x</w:t>
            </w:r>
          </w:p>
        </w:tc>
        <w:tc>
          <w:tcPr>
            <w:tcW w:w="3261" w:type="dxa"/>
          </w:tcPr>
          <w:p w14:paraId="0984BA75" w14:textId="77777777" w:rsidR="00941F58" w:rsidRPr="34BCA13F" w:rsidRDefault="00941F58" w:rsidP="005A0EB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SMTP adapter implementing </w:t>
            </w:r>
            <w:proofErr w:type="spellStart"/>
            <w:r>
              <w:rPr>
                <w:sz w:val="16"/>
                <w:szCs w:val="16"/>
              </w:rPr>
              <w:t>MailSender</w:t>
            </w:r>
            <w:proofErr w:type="spellEnd"/>
            <w:r>
              <w:rPr>
                <w:sz w:val="16"/>
                <w:szCs w:val="16"/>
              </w:rPr>
              <w:t>(D</w:t>
            </w:r>
            <w:proofErr w:type="gramStart"/>
            <w:r>
              <w:rPr>
                <w:sz w:val="16"/>
                <w:szCs w:val="16"/>
              </w:rPr>
              <w:t>11,D13,ASR</w:t>
            </w:r>
            <w:proofErr w:type="gramEnd"/>
            <w:r>
              <w:rPr>
                <w:sz w:val="16"/>
                <w:szCs w:val="16"/>
              </w:rPr>
              <w:t>-008)</w:t>
            </w:r>
          </w:p>
        </w:tc>
      </w:tr>
      <w:tr w:rsidR="00941F58" w14:paraId="44F26DE2" w14:textId="77777777" w:rsidTr="005A0EB4">
        <w:tc>
          <w:tcPr>
            <w:tcW w:w="3260" w:type="dxa"/>
          </w:tcPr>
          <w:p w14:paraId="2F9A3ACB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npm &amp; Lockfile</w:t>
            </w:r>
          </w:p>
        </w:tc>
        <w:tc>
          <w:tcPr>
            <w:tcW w:w="3261" w:type="dxa"/>
          </w:tcPr>
          <w:p w14:paraId="4ACE5CE8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v10.x (</w:t>
            </w:r>
            <w:proofErr w:type="spellStart"/>
            <w:r w:rsidRPr="34BCA13F">
              <w:rPr>
                <w:sz w:val="16"/>
                <w:szCs w:val="16"/>
              </w:rPr>
              <w:t>lockfileVersion</w:t>
            </w:r>
            <w:proofErr w:type="spellEnd"/>
            <w:r w:rsidRPr="34BCA13F">
              <w:rPr>
                <w:sz w:val="16"/>
                <w:szCs w:val="16"/>
              </w:rPr>
              <w:t>: 3)</w:t>
            </w:r>
          </w:p>
        </w:tc>
        <w:tc>
          <w:tcPr>
            <w:tcW w:w="3261" w:type="dxa"/>
          </w:tcPr>
          <w:p w14:paraId="69CEFDFB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Deterministic dependency tree resolution via npm ci (Gamage et al., 2026)</w:t>
            </w:r>
          </w:p>
        </w:tc>
      </w:tr>
    </w:tbl>
    <w:p w14:paraId="7B4E577F" w14:textId="77777777" w:rsidR="00DB4E1C" w:rsidRDefault="00DB4E1C"/>
    <w:sectPr w:rsidR="00DB4E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F58"/>
    <w:rsid w:val="002C3AAA"/>
    <w:rsid w:val="005E503D"/>
    <w:rsid w:val="00831B63"/>
    <w:rsid w:val="00941F58"/>
    <w:rsid w:val="00AB38C7"/>
    <w:rsid w:val="00DB4E1C"/>
    <w:rsid w:val="00FC6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C65947"/>
  <w15:chartTrackingRefBased/>
  <w15:docId w15:val="{27B57A7F-FCDB-574B-9764-39739EE1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F58"/>
    <w:pPr>
      <w:spacing w:after="120" w:line="264" w:lineRule="auto"/>
    </w:pPr>
    <w:rPr>
      <w:rFonts w:ascii="Calibri" w:eastAsiaTheme="minorEastAsia" w:hAnsi="Calibri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1F5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1F5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F5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F5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F5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F5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F5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F5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F5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ZA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1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41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F5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41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F58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41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F58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41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F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941F5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737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Mohau Drew Modiselle</dc:creator>
  <cp:keywords/>
  <dc:description/>
  <cp:lastModifiedBy>Mohau Drew Modiselle</cp:lastModifiedBy>
  <cp:revision>2</cp:revision>
  <dcterms:created xsi:type="dcterms:W3CDTF">2026-09-30T19:34:00Z</dcterms:created>
  <dcterms:modified xsi:type="dcterms:W3CDTF">2026-10-05T19:31:00Z</dcterms:modified>
</cp:coreProperties>
</file>