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54CE" w14:textId="77777777" w:rsidR="007B7EC5" w:rsidRPr="007B7EC5" w:rsidRDefault="007B7EC5" w:rsidP="007B7EC5">
      <w:pPr>
        <w:pStyle w:val="Heading1"/>
        <w:rPr>
          <w:rFonts w:ascii="Times New Roman" w:hAnsi="Times New Roman" w:cs="Times New Roman"/>
        </w:rPr>
      </w:pPr>
      <w:r w:rsidRPr="007B7EC5">
        <w:rPr>
          <w:rFonts w:ascii="Times New Roman" w:hAnsi="Times New Roman" w:cs="Times New Roman"/>
          <w:lang w:val="en-US"/>
        </w:rPr>
        <w:t>6. Architecturally Significant Requirements</w:t>
      </w:r>
      <w:r w:rsidRPr="007B7EC5">
        <w:rPr>
          <w:rFonts w:ascii="Times New Roman" w:hAnsi="Times New Roman" w:cs="Times New Roma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920"/>
        <w:gridCol w:w="1005"/>
        <w:gridCol w:w="2370"/>
        <w:gridCol w:w="2970"/>
      </w:tblGrid>
      <w:tr w:rsidR="007B7EC5" w:rsidRPr="007B7EC5" w14:paraId="6A247CA9" w14:textId="77777777">
        <w:trPr>
          <w:trHeight w:val="28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243E"/>
            <w:hideMark/>
          </w:tcPr>
          <w:p w14:paraId="03386178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ID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243E"/>
            <w:hideMark/>
          </w:tcPr>
          <w:p w14:paraId="24FFEB06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ASR / Quality Attribute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243E"/>
            <w:hideMark/>
          </w:tcPr>
          <w:p w14:paraId="08E80207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Source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243E"/>
            <w:hideMark/>
          </w:tcPr>
          <w:p w14:paraId="47A27D8A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Measurable/Testable Expectation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243E"/>
            <w:hideMark/>
          </w:tcPr>
          <w:p w14:paraId="3FB6FD69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Architecture / Data / Technology / Design Influence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06CB258F" w14:textId="77777777">
        <w:trPr>
          <w:trHeight w:val="70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F3F3B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ASR-001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97A1F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team must only utilize cheap/free tools for the stack since development budget of R0 was provided.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F8EE03C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D4A1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CON-CST-01, CON-CST-02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F5A25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Frontend, backend, database, as well as hosting tools, and security tools will need to be free tools. If a tool requires payment, it must be logged to the “Change Impact Analysis” register.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233D5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Influences technology since software components should be free tier and instead of using a costly architecture required for deployment, the team will use one instance of a deployment architecture instead of distributed.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6EB33E96" w14:textId="77777777">
        <w:trPr>
          <w:trHeight w:val="28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C94C0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ASR-002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35BA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Requesters, front-line staff, department supervisors and senior management must only view the service request information which they may see depending on their roles and may not retrieve sensitive data </w:t>
            </w:r>
            <w:proofErr w:type="gram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of</w:t>
            </w:r>
            <w:proofErr w:type="gram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other users.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F5B3A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CON-SEC-03, REQ-029, REQ-033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B7FD6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API calls for </w:t>
            </w:r>
            <w:proofErr w:type="gram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requester</w:t>
            </w:r>
            <w:proofErr w:type="gram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only return their own requests; API calls for front-line staff only return requests that belong to their jurisdiction.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AF3FE53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77DD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Make security layers essential across the entire architecture such as using auth middleware to routes, enforcing data-model </w:t>
            </w:r>
            <w:proofErr w:type="gram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decision</w:t>
            </w:r>
            <w:proofErr w:type="gram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to ensure that users that own queries only return data that is restricted to them instead of entire tables, and influences the design pattern for reusing security check components across roles.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3DD105A6" w14:textId="77777777">
        <w:trPr>
          <w:trHeight w:val="28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4F08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ASR-003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B9A59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Passwords and verification tokens must never be stored in simple text.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D0A3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REQ-030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CED0A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Platform must use a hashing function such as </w:t>
            </w:r>
            <w:proofErr w:type="spell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bcrypt</w:t>
            </w:r>
            <w:proofErr w:type="spell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to store hashed passwords and tokens instead of plain text.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E806A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Influences the technology to ensure that the backend stack has a hashing library for passwords and tokens, and the data-model is influenced that the password attribute and token attribute of users will not contain string data type but hashed data type.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035B4C30" w14:textId="77777777">
        <w:trPr>
          <w:trHeight w:val="12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2926A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ASR-004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7AF9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</w:t>
            </w:r>
            <w:proofErr w:type="spell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application must have an availability percentage of 99.9%, and if the main database, a failover operation must ensure the backup database can take place.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73D53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REQ-034, REQ-036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83EFD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An estimate of downtime of 0.1% or less exists for the availability.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565B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Influences the architecture as well as data choices to have a replicated database having the backup function, and the Data &amp; Persistence Baseline must address the backup and recovery feature.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71386E9F" w14:textId="77777777">
        <w:trPr>
          <w:trHeight w:val="66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67DD7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ASR-005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687FC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Submission process must be quick when requesters submit service requests.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B9116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REQ-025, REQ-035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9B7DA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Requester submitting service request should take 30 seconds or less, and processing should be finished within 10 seconds.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F359B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Influences the technology or design so that synchronous processing which is heavy on a request path </w:t>
            </w:r>
            <w:proofErr w:type="gram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 drifted</w:t>
            </w:r>
            <w:proofErr w:type="gram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away from and lean more toward asynchronous notifications mentioned in ASR-008.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4AD687BF" w14:textId="77777777">
        <w:trPr>
          <w:trHeight w:val="28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8B895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ASR-006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DF87C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must cater for 210 simultaneous users and should not fail.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2640B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REQ-037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4E046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If a load test occurs for 210 simultaneous users, the </w:t>
            </w:r>
            <w:proofErr w:type="spell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platform should not crash.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CB4F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Impacts the architecture to pivot towards a backend that is stateless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5408B343" w14:textId="77777777">
        <w:trPr>
          <w:trHeight w:val="28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29071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ASR-007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C01AB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Submitted requests must neither be lost nor corrupted.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89C97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REQ-028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C31C9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A successful submission must </w:t>
            </w:r>
            <w:proofErr w:type="gram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return</w:t>
            </w:r>
            <w:proofErr w:type="gram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 new valid record. A corrupted/lost submission must undo the operation.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EC6D4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Influences persistence to make use of transactional writes for submission of service requests and any other CRUD operations that can cause corrupted/loss data.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1FEB8E9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2BE32619" w14:textId="77777777">
        <w:trPr>
          <w:trHeight w:val="91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EB7A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ASR-008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394DD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</w:t>
            </w:r>
            <w:proofErr w:type="spell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website must inform requesters about the status updates with notifications via 2 or less communication channels, and notification must inform registration with 6-digit code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2D1B4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REQ-026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3C40E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notification of a status update is sent to at least two communication channels, which are SMS and email where WhatsApp is excluded.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50283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Influences architecture so that the notification module is separately integrated with the </w:t>
            </w:r>
            <w:proofErr w:type="spell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platform, so that channels can be replaced or added without interfering with the core logic.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3DE229F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54F7EAF6" w14:textId="77777777">
        <w:trPr>
          <w:trHeight w:val="28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95C22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ASR-009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05007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Department supervisors and senior management must view </w:t>
            </w:r>
            <w:proofErr w:type="spell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activity, and staff actions must be recorded.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B07EB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REQ-018, REQ-021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B8104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Management roles should receive summary statistics of service requests along with chronological order of actions taken from staff to handle status updates.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1243C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Influences data to keep an action/audit table for staff actions, and this ASR also influences design to separate read-only queries from transactional writes for the activity overview module.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7B7EC5" w:rsidRPr="007B7EC5" w14:paraId="63777983" w14:textId="77777777">
        <w:trPr>
          <w:trHeight w:val="28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DBF0D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ASR-010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72DD7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Any user must be capable of using a phone, tablet, laptop, or desktop computer to access the </w:t>
            </w:r>
            <w:proofErr w:type="spellStart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platform.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65BF5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REQ-032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2B174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CRUD operations can be performed on the platform using any type of device. In addition to that, the platform can be displayed appropriately via the device.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E74E7" w14:textId="77777777" w:rsidR="007B7EC5" w:rsidRPr="007B7EC5" w:rsidRDefault="007B7EC5" w:rsidP="007B7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B7E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Influences the choice of using frontend technology to make the website responsive for any device, also ensuring it stays within a budget of R0, and the team of 3 people can work on it.</w:t>
            </w:r>
            <w:r w:rsidRPr="007B7EC5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</w:tbl>
    <w:p w14:paraId="51C5521E" w14:textId="77777777" w:rsidR="00881FD3" w:rsidRPr="007B7EC5" w:rsidRDefault="00881FD3">
      <w:pPr>
        <w:rPr>
          <w:rFonts w:ascii="Times New Roman" w:hAnsi="Times New Roman" w:cs="Times New Roman"/>
          <w:sz w:val="16"/>
          <w:szCs w:val="16"/>
        </w:rPr>
      </w:pPr>
    </w:p>
    <w:sectPr w:rsidR="00881FD3" w:rsidRPr="007B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D3"/>
    <w:rsid w:val="007B7EC5"/>
    <w:rsid w:val="00881FD3"/>
    <w:rsid w:val="00DC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C9906"/>
  <w15:chartTrackingRefBased/>
  <w15:docId w15:val="{C29A20D9-84C6-4DAC-B12A-E295B61B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2</cp:revision>
  <dcterms:created xsi:type="dcterms:W3CDTF">2026-09-30T20:33:00Z</dcterms:created>
  <dcterms:modified xsi:type="dcterms:W3CDTF">2026-09-30T20:33:00Z</dcterms:modified>
</cp:coreProperties>
</file>