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16D1" w14:textId="77777777" w:rsidR="002A0F76" w:rsidRPr="002A0F76" w:rsidRDefault="002A0F76" w:rsidP="002A0F76">
      <w:pPr>
        <w:rPr>
          <w:rFonts w:ascii="Times New Roman" w:hAnsi="Times New Roman" w:cs="Times New Roman"/>
          <w:b/>
          <w:bCs/>
        </w:rPr>
      </w:pPr>
      <w:r w:rsidRPr="002A0F76">
        <w:rPr>
          <w:rFonts w:ascii="Times New Roman" w:hAnsi="Times New Roman" w:cs="Times New Roman"/>
          <w:b/>
          <w:bCs/>
          <w:lang w:val="en-US"/>
        </w:rPr>
        <w:t>3. Scope Baseline </w:t>
      </w:r>
      <w:r w:rsidRPr="002A0F76">
        <w:rPr>
          <w:rFonts w:ascii="Times New Roman" w:hAnsi="Times New Roman" w:cs="Times New Roman"/>
          <w:b/>
          <w:bCs/>
        </w:rPr>
        <w:t> </w:t>
      </w:r>
    </w:p>
    <w:p w14:paraId="6C4800DA" w14:textId="77777777" w:rsidR="002A0F76" w:rsidRPr="002A0F76" w:rsidRDefault="002A0F76" w:rsidP="002A0F76">
      <w:pPr>
        <w:rPr>
          <w:rFonts w:ascii="Times New Roman" w:hAnsi="Times New Roman" w:cs="Times New Roman"/>
          <w:b/>
          <w:bCs/>
        </w:rPr>
      </w:pPr>
      <w:r w:rsidRPr="002A0F76">
        <w:rPr>
          <w:rFonts w:ascii="Times New Roman" w:hAnsi="Times New Roman" w:cs="Times New Roman"/>
          <w:b/>
          <w:bCs/>
          <w:lang w:val="en-US"/>
        </w:rPr>
        <w:t>3.1 Scope objective</w:t>
      </w:r>
      <w:r w:rsidRPr="002A0F76">
        <w:rPr>
          <w:rFonts w:ascii="Times New Roman" w:hAnsi="Times New Roman" w:cs="Times New Roman"/>
          <w:b/>
          <w:bCs/>
        </w:rPr>
        <w:t> </w:t>
      </w:r>
    </w:p>
    <w:p w14:paraId="21559C7D"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The CivicConnect baseline commits the team to a controlled, responsive web platform that provides a reliable and traceable way to submit, manage, monitor and report on service requests without creating an unsustainable technical, operational or financial burden. The boundary prioritizes the minimum business capabilities in the Master Project Brief and a smaller, complete, secure and testable solution over uncontrolled feature growth (Belgium Campus, 2026a).</w:t>
      </w:r>
      <w:r w:rsidRPr="002A0F76">
        <w:rPr>
          <w:rFonts w:ascii="Times New Roman" w:hAnsi="Times New Roman" w:cs="Times New Roman"/>
        </w:rPr>
        <w:t> </w:t>
      </w:r>
    </w:p>
    <w:p w14:paraId="6C613376" w14:textId="77777777" w:rsidR="002A0F76" w:rsidRPr="002A0F76" w:rsidRDefault="002A0F76" w:rsidP="002A0F76">
      <w:pPr>
        <w:rPr>
          <w:rFonts w:ascii="Times New Roman" w:hAnsi="Times New Roman" w:cs="Times New Roman"/>
          <w:b/>
          <w:bCs/>
        </w:rPr>
      </w:pPr>
      <w:r w:rsidRPr="002A0F76">
        <w:rPr>
          <w:rFonts w:ascii="Times New Roman" w:hAnsi="Times New Roman" w:cs="Times New Roman"/>
          <w:b/>
          <w:bCs/>
          <w:lang w:val="en-US"/>
        </w:rPr>
        <w:t>3.2 In-scope capabilities</w:t>
      </w:r>
      <w:r w:rsidRPr="002A0F76">
        <w:rPr>
          <w:rFonts w:ascii="Times New Roman" w:hAnsi="Times New Roman" w:cs="Times New Roman"/>
          <w:b/>
          <w:bCs/>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4"/>
        <w:gridCol w:w="1836"/>
        <w:gridCol w:w="6125"/>
      </w:tblGrid>
      <w:tr w:rsidR="002A0F76" w:rsidRPr="002A0F76" w14:paraId="1DED5BD6" w14:textId="77777777">
        <w:trPr>
          <w:trHeight w:val="285"/>
        </w:trPr>
        <w:tc>
          <w:tcPr>
            <w:tcW w:w="975" w:type="dxa"/>
            <w:tcBorders>
              <w:top w:val="single" w:sz="6" w:space="0" w:color="auto"/>
              <w:left w:val="single" w:sz="6" w:space="0" w:color="auto"/>
              <w:bottom w:val="single" w:sz="6" w:space="0" w:color="auto"/>
              <w:right w:val="single" w:sz="6" w:space="0" w:color="auto"/>
            </w:tcBorders>
            <w:shd w:val="clear" w:color="auto" w:fill="17365D"/>
            <w:vAlign w:val="center"/>
            <w:hideMark/>
          </w:tcPr>
          <w:p w14:paraId="68001DB7"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Scope ID</w:t>
            </w:r>
            <w:r w:rsidRPr="002A0F76">
              <w:rPr>
                <w:rFonts w:ascii="Times New Roman" w:hAnsi="Times New Roman" w:cs="Times New Roman"/>
              </w:rPr>
              <w:t> </w:t>
            </w:r>
          </w:p>
        </w:tc>
        <w:tc>
          <w:tcPr>
            <w:tcW w:w="1890" w:type="dxa"/>
            <w:tcBorders>
              <w:top w:val="single" w:sz="6" w:space="0" w:color="auto"/>
              <w:left w:val="single" w:sz="6" w:space="0" w:color="auto"/>
              <w:bottom w:val="single" w:sz="6" w:space="0" w:color="auto"/>
              <w:right w:val="single" w:sz="6" w:space="0" w:color="auto"/>
            </w:tcBorders>
            <w:shd w:val="clear" w:color="auto" w:fill="17365D"/>
            <w:vAlign w:val="center"/>
            <w:hideMark/>
          </w:tcPr>
          <w:p w14:paraId="6780EC64"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Capability</w:t>
            </w:r>
            <w:r w:rsidRPr="002A0F76">
              <w:rPr>
                <w:rFonts w:ascii="Times New Roman" w:hAnsi="Times New Roman" w:cs="Times New Roman"/>
              </w:rPr>
              <w:t> </w:t>
            </w:r>
          </w:p>
        </w:tc>
        <w:tc>
          <w:tcPr>
            <w:tcW w:w="6480" w:type="dxa"/>
            <w:tcBorders>
              <w:top w:val="single" w:sz="6" w:space="0" w:color="auto"/>
              <w:left w:val="single" w:sz="6" w:space="0" w:color="auto"/>
              <w:bottom w:val="single" w:sz="6" w:space="0" w:color="auto"/>
              <w:right w:val="single" w:sz="6" w:space="0" w:color="auto"/>
            </w:tcBorders>
            <w:shd w:val="clear" w:color="auto" w:fill="17365D"/>
            <w:vAlign w:val="center"/>
            <w:hideMark/>
          </w:tcPr>
          <w:p w14:paraId="57F99C48"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Committed boundary</w:t>
            </w:r>
            <w:r w:rsidRPr="002A0F76">
              <w:rPr>
                <w:rFonts w:ascii="Times New Roman" w:hAnsi="Times New Roman" w:cs="Times New Roman"/>
              </w:rPr>
              <w:t> </w:t>
            </w:r>
          </w:p>
        </w:tc>
      </w:tr>
      <w:tr w:rsidR="002A0F76" w:rsidRPr="002A0F76" w14:paraId="08E72330"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35E8E6E0"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S-IN-001</w:t>
            </w:r>
            <w:r w:rsidRPr="002A0F76">
              <w:rPr>
                <w:rFonts w:ascii="Times New Roman" w:hAnsi="Times New Roman" w:cs="Times New Roman"/>
              </w:rPr>
              <w:t> </w:t>
            </w:r>
          </w:p>
        </w:tc>
        <w:tc>
          <w:tcPr>
            <w:tcW w:w="1890" w:type="dxa"/>
            <w:tcBorders>
              <w:top w:val="single" w:sz="6" w:space="0" w:color="auto"/>
              <w:left w:val="single" w:sz="6" w:space="0" w:color="auto"/>
              <w:bottom w:val="single" w:sz="6" w:space="0" w:color="auto"/>
              <w:right w:val="single" w:sz="6" w:space="0" w:color="auto"/>
            </w:tcBorders>
            <w:vAlign w:val="center"/>
            <w:hideMark/>
          </w:tcPr>
          <w:p w14:paraId="42EDF9D0"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Responsive web submission</w:t>
            </w:r>
            <w:r w:rsidRPr="002A0F76">
              <w:rPr>
                <w:rFonts w:ascii="Times New Roman" w:hAnsi="Times New Roman" w:cs="Times New Roman"/>
              </w:rPr>
              <w:t> </w:t>
            </w:r>
          </w:p>
        </w:tc>
        <w:tc>
          <w:tcPr>
            <w:tcW w:w="6480" w:type="dxa"/>
            <w:tcBorders>
              <w:top w:val="single" w:sz="6" w:space="0" w:color="auto"/>
              <w:left w:val="single" w:sz="6" w:space="0" w:color="auto"/>
              <w:bottom w:val="single" w:sz="6" w:space="0" w:color="auto"/>
              <w:right w:val="single" w:sz="6" w:space="0" w:color="auto"/>
            </w:tcBorders>
            <w:vAlign w:val="center"/>
            <w:hideMark/>
          </w:tcPr>
          <w:p w14:paraId="3E95839E"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 requester can submit a service request with validated essential information and a controlled category: facility fault, equipment damage, security concern, IT support, maintenance, lost property or other.</w:t>
            </w:r>
            <w:r w:rsidRPr="002A0F76">
              <w:rPr>
                <w:rFonts w:ascii="Times New Roman" w:hAnsi="Times New Roman" w:cs="Times New Roman"/>
              </w:rPr>
              <w:t> </w:t>
            </w:r>
          </w:p>
        </w:tc>
      </w:tr>
      <w:tr w:rsidR="002A0F76" w:rsidRPr="002A0F76" w14:paraId="35C60FDA"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263D934C"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S-IN-002</w:t>
            </w:r>
            <w:r w:rsidRPr="002A0F76">
              <w:rPr>
                <w:rFonts w:ascii="Times New Roman" w:hAnsi="Times New Roman" w:cs="Times New Roman"/>
              </w:rPr>
              <w:t> </w:t>
            </w:r>
          </w:p>
        </w:tc>
        <w:tc>
          <w:tcPr>
            <w:tcW w:w="1890" w:type="dxa"/>
            <w:tcBorders>
              <w:top w:val="single" w:sz="6" w:space="0" w:color="auto"/>
              <w:left w:val="single" w:sz="6" w:space="0" w:color="auto"/>
              <w:bottom w:val="single" w:sz="6" w:space="0" w:color="auto"/>
              <w:right w:val="single" w:sz="6" w:space="0" w:color="auto"/>
            </w:tcBorders>
            <w:vAlign w:val="center"/>
            <w:hideMark/>
          </w:tcPr>
          <w:p w14:paraId="2348A08E"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Requester status and history</w:t>
            </w:r>
            <w:r w:rsidRPr="002A0F76">
              <w:rPr>
                <w:rFonts w:ascii="Times New Roman" w:hAnsi="Times New Roman" w:cs="Times New Roman"/>
              </w:rPr>
              <w:t> </w:t>
            </w:r>
          </w:p>
        </w:tc>
        <w:tc>
          <w:tcPr>
            <w:tcW w:w="6480" w:type="dxa"/>
            <w:tcBorders>
              <w:top w:val="single" w:sz="6" w:space="0" w:color="auto"/>
              <w:left w:val="single" w:sz="6" w:space="0" w:color="auto"/>
              <w:bottom w:val="single" w:sz="6" w:space="0" w:color="auto"/>
              <w:right w:val="single" w:sz="6" w:space="0" w:color="auto"/>
            </w:tcBorders>
            <w:vAlign w:val="center"/>
            <w:hideMark/>
          </w:tcPr>
          <w:p w14:paraId="3444282D"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An authenticated requester can view the current status and lifecycle history of an individual request and a list of their previously submitted requests.</w:t>
            </w:r>
            <w:r w:rsidRPr="002A0F76">
              <w:rPr>
                <w:rFonts w:ascii="Times New Roman" w:hAnsi="Times New Roman" w:cs="Times New Roman"/>
              </w:rPr>
              <w:t> </w:t>
            </w:r>
          </w:p>
        </w:tc>
      </w:tr>
      <w:tr w:rsidR="002A0F76" w:rsidRPr="002A0F76" w14:paraId="37107F72"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0A5AFF4E"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S-IN-003</w:t>
            </w:r>
            <w:r w:rsidRPr="002A0F76">
              <w:rPr>
                <w:rFonts w:ascii="Times New Roman" w:hAnsi="Times New Roman" w:cs="Times New Roman"/>
              </w:rPr>
              <w:t> </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0011665"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Meaningful requester feedback</w:t>
            </w:r>
            <w:r w:rsidRPr="002A0F76">
              <w:rPr>
                <w:rFonts w:ascii="Times New Roman" w:hAnsi="Times New Roman" w:cs="Times New Roman"/>
              </w:rPr>
              <w:t> </w:t>
            </w:r>
          </w:p>
        </w:tc>
        <w:tc>
          <w:tcPr>
            <w:tcW w:w="6480" w:type="dxa"/>
            <w:tcBorders>
              <w:top w:val="single" w:sz="6" w:space="0" w:color="auto"/>
              <w:left w:val="single" w:sz="6" w:space="0" w:color="auto"/>
              <w:bottom w:val="single" w:sz="6" w:space="0" w:color="auto"/>
              <w:right w:val="single" w:sz="6" w:space="0" w:color="auto"/>
            </w:tcBorders>
            <w:vAlign w:val="center"/>
            <w:hideMark/>
          </w:tcPr>
          <w:p w14:paraId="24C51056"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The platform provides in app feedback when a request is accepted, rejected, materially updated, resolved or closed. External email/SMS delivery is not committed. Requester will receive notification via email for 6-digit code to confirm user registration once.</w:t>
            </w:r>
            <w:r w:rsidRPr="002A0F76">
              <w:rPr>
                <w:rFonts w:ascii="Times New Roman" w:hAnsi="Times New Roman" w:cs="Times New Roman"/>
              </w:rPr>
              <w:t> </w:t>
            </w:r>
          </w:p>
        </w:tc>
      </w:tr>
      <w:tr w:rsidR="002A0F76" w:rsidRPr="002A0F76" w14:paraId="2C61D2B0"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0EF607D7"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S-IN-004</w:t>
            </w:r>
            <w:r w:rsidRPr="002A0F76">
              <w:rPr>
                <w:rFonts w:ascii="Times New Roman" w:hAnsi="Times New Roman" w:cs="Times New Roman"/>
              </w:rPr>
              <w:t> </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F978B44"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Staff worklist</w:t>
            </w:r>
            <w:r w:rsidRPr="002A0F76">
              <w:rPr>
                <w:rFonts w:ascii="Times New Roman" w:hAnsi="Times New Roman" w:cs="Times New Roman"/>
              </w:rPr>
              <w:t> </w:t>
            </w:r>
          </w:p>
        </w:tc>
        <w:tc>
          <w:tcPr>
            <w:tcW w:w="6480" w:type="dxa"/>
            <w:tcBorders>
              <w:top w:val="single" w:sz="6" w:space="0" w:color="auto"/>
              <w:left w:val="single" w:sz="6" w:space="0" w:color="auto"/>
              <w:bottom w:val="single" w:sz="6" w:space="0" w:color="auto"/>
              <w:right w:val="single" w:sz="6" w:space="0" w:color="auto"/>
            </w:tcBorders>
            <w:vAlign w:val="center"/>
            <w:hideMark/>
          </w:tcPr>
          <w:p w14:paraId="43C6601B"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Authorized staff can view full details of relevant requests and search, filter and sort them using agreed useful criteria.</w:t>
            </w:r>
            <w:r w:rsidRPr="002A0F76">
              <w:rPr>
                <w:rFonts w:ascii="Times New Roman" w:hAnsi="Times New Roman" w:cs="Times New Roman"/>
              </w:rPr>
              <w:t> </w:t>
            </w:r>
          </w:p>
        </w:tc>
      </w:tr>
      <w:tr w:rsidR="002A0F76" w:rsidRPr="002A0F76" w14:paraId="4BBED76D"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3FDC6C79"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S-IN-005</w:t>
            </w:r>
            <w:r w:rsidRPr="002A0F76">
              <w:rPr>
                <w:rFonts w:ascii="Times New Roman" w:hAnsi="Times New Roman" w:cs="Times New Roman"/>
              </w:rPr>
              <w:t> </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63A4330"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Triage and ownership</w:t>
            </w:r>
            <w:r w:rsidRPr="002A0F76">
              <w:rPr>
                <w:rFonts w:ascii="Times New Roman" w:hAnsi="Times New Roman" w:cs="Times New Roman"/>
              </w:rPr>
              <w:t> </w:t>
            </w:r>
          </w:p>
        </w:tc>
        <w:tc>
          <w:tcPr>
            <w:tcW w:w="6480" w:type="dxa"/>
            <w:tcBorders>
              <w:top w:val="single" w:sz="6" w:space="0" w:color="auto"/>
              <w:left w:val="single" w:sz="6" w:space="0" w:color="auto"/>
              <w:bottom w:val="single" w:sz="6" w:space="0" w:color="auto"/>
              <w:right w:val="single" w:sz="6" w:space="0" w:color="auto"/>
            </w:tcBorders>
            <w:vAlign w:val="center"/>
            <w:hideMark/>
          </w:tcPr>
          <w:p w14:paraId="04304B21"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Authorized staff can correct categorization where permitted, assign a request or accept responsibility and view current ownership and ownership history.</w:t>
            </w:r>
            <w:r w:rsidRPr="002A0F76">
              <w:rPr>
                <w:rFonts w:ascii="Times New Roman" w:hAnsi="Times New Roman" w:cs="Times New Roman"/>
              </w:rPr>
              <w:t> </w:t>
            </w:r>
          </w:p>
        </w:tc>
      </w:tr>
      <w:tr w:rsidR="002A0F76" w:rsidRPr="002A0F76" w14:paraId="36293284"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735B5167"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S-IN-006</w:t>
            </w:r>
            <w:r w:rsidRPr="002A0F76">
              <w:rPr>
                <w:rFonts w:ascii="Times New Roman" w:hAnsi="Times New Roman" w:cs="Times New Roman"/>
              </w:rPr>
              <w:t> </w:t>
            </w:r>
          </w:p>
        </w:tc>
        <w:tc>
          <w:tcPr>
            <w:tcW w:w="1890" w:type="dxa"/>
            <w:tcBorders>
              <w:top w:val="single" w:sz="6" w:space="0" w:color="auto"/>
              <w:left w:val="single" w:sz="6" w:space="0" w:color="auto"/>
              <w:bottom w:val="single" w:sz="6" w:space="0" w:color="auto"/>
              <w:right w:val="single" w:sz="6" w:space="0" w:color="auto"/>
            </w:tcBorders>
            <w:vAlign w:val="center"/>
            <w:hideMark/>
          </w:tcPr>
          <w:p w14:paraId="114ED056"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Controlled request lifecycle</w:t>
            </w:r>
            <w:r w:rsidRPr="002A0F76">
              <w:rPr>
                <w:rFonts w:ascii="Times New Roman" w:hAnsi="Times New Roman" w:cs="Times New Roman"/>
              </w:rPr>
              <w:t> </w:t>
            </w:r>
          </w:p>
        </w:tc>
        <w:tc>
          <w:tcPr>
            <w:tcW w:w="6480" w:type="dxa"/>
            <w:tcBorders>
              <w:top w:val="single" w:sz="6" w:space="0" w:color="auto"/>
              <w:left w:val="single" w:sz="6" w:space="0" w:color="auto"/>
              <w:bottom w:val="single" w:sz="6" w:space="0" w:color="auto"/>
              <w:right w:val="single" w:sz="6" w:space="0" w:color="auto"/>
            </w:tcBorders>
            <w:vAlign w:val="center"/>
            <w:hideMark/>
          </w:tcPr>
          <w:p w14:paraId="179B26B9"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Authorized staff can update status through valid transitions and record actions, comments and resolution information. Actor and timestamp information is retained for auditability.</w:t>
            </w:r>
            <w:r w:rsidRPr="002A0F76">
              <w:rPr>
                <w:rFonts w:ascii="Times New Roman" w:hAnsi="Times New Roman" w:cs="Times New Roman"/>
              </w:rPr>
              <w:t> </w:t>
            </w:r>
          </w:p>
        </w:tc>
      </w:tr>
      <w:tr w:rsidR="002A0F76" w:rsidRPr="002A0F76" w14:paraId="317DED59"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6583CB57"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S-IN-007</w:t>
            </w:r>
            <w:r w:rsidRPr="002A0F76">
              <w:rPr>
                <w:rFonts w:ascii="Times New Roman" w:hAnsi="Times New Roman" w:cs="Times New Roman"/>
              </w:rPr>
              <w:t> </w:t>
            </w:r>
          </w:p>
        </w:tc>
        <w:tc>
          <w:tcPr>
            <w:tcW w:w="1890" w:type="dxa"/>
            <w:tcBorders>
              <w:top w:val="single" w:sz="6" w:space="0" w:color="auto"/>
              <w:left w:val="single" w:sz="6" w:space="0" w:color="auto"/>
              <w:bottom w:val="single" w:sz="6" w:space="0" w:color="auto"/>
              <w:right w:val="single" w:sz="6" w:space="0" w:color="auto"/>
            </w:tcBorders>
            <w:vAlign w:val="center"/>
            <w:hideMark/>
          </w:tcPr>
          <w:p w14:paraId="0C1CBD33"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Resolution and closure</w:t>
            </w:r>
            <w:r w:rsidRPr="002A0F76">
              <w:rPr>
                <w:rFonts w:ascii="Times New Roman" w:hAnsi="Times New Roman" w:cs="Times New Roman"/>
              </w:rPr>
              <w:t> </w:t>
            </w:r>
          </w:p>
        </w:tc>
        <w:tc>
          <w:tcPr>
            <w:tcW w:w="6480" w:type="dxa"/>
            <w:tcBorders>
              <w:top w:val="single" w:sz="6" w:space="0" w:color="auto"/>
              <w:left w:val="single" w:sz="6" w:space="0" w:color="auto"/>
              <w:bottom w:val="single" w:sz="6" w:space="0" w:color="auto"/>
              <w:right w:val="single" w:sz="6" w:space="0" w:color="auto"/>
            </w:tcBorders>
            <w:vAlign w:val="center"/>
            <w:hideMark/>
          </w:tcPr>
          <w:p w14:paraId="4592F2EB"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Authorized staff can resolve or close requests and provide resolution information. The detailed state model must address rejection, cancellation and reopening before requirements sign-off.</w:t>
            </w:r>
            <w:r w:rsidRPr="002A0F76">
              <w:rPr>
                <w:rFonts w:ascii="Times New Roman" w:hAnsi="Times New Roman" w:cs="Times New Roman"/>
              </w:rPr>
              <w:t> </w:t>
            </w:r>
          </w:p>
        </w:tc>
      </w:tr>
      <w:tr w:rsidR="002A0F76" w:rsidRPr="002A0F76" w14:paraId="7FC57C97"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47075037"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lastRenderedPageBreak/>
              <w:t>S-IN-008</w:t>
            </w:r>
            <w:r w:rsidRPr="002A0F76">
              <w:rPr>
                <w:rFonts w:ascii="Times New Roman" w:hAnsi="Times New Roman" w:cs="Times New Roman"/>
              </w:rPr>
              <w:t> </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E9D227F"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Role-based access</w:t>
            </w:r>
            <w:r w:rsidRPr="002A0F76">
              <w:rPr>
                <w:rFonts w:ascii="Times New Roman" w:hAnsi="Times New Roman" w:cs="Times New Roman"/>
              </w:rPr>
              <w:t> </w:t>
            </w:r>
          </w:p>
        </w:tc>
        <w:tc>
          <w:tcPr>
            <w:tcW w:w="6480" w:type="dxa"/>
            <w:tcBorders>
              <w:top w:val="single" w:sz="6" w:space="0" w:color="auto"/>
              <w:left w:val="single" w:sz="6" w:space="0" w:color="auto"/>
              <w:bottom w:val="single" w:sz="6" w:space="0" w:color="auto"/>
              <w:right w:val="single" w:sz="6" w:space="0" w:color="auto"/>
            </w:tcBorders>
            <w:vAlign w:val="center"/>
            <w:hideMark/>
          </w:tcPr>
          <w:p w14:paraId="6D415E24"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Requester, staff, supervisor/management and administrator capabilities are separated using role-based access and least privilege.</w:t>
            </w:r>
            <w:r w:rsidRPr="002A0F76">
              <w:rPr>
                <w:rFonts w:ascii="Times New Roman" w:hAnsi="Times New Roman" w:cs="Times New Roman"/>
              </w:rPr>
              <w:t> </w:t>
            </w:r>
          </w:p>
        </w:tc>
      </w:tr>
      <w:tr w:rsidR="002A0F76" w:rsidRPr="002A0F76" w14:paraId="1712D241"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5649B440"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S-IN-009</w:t>
            </w:r>
            <w:r w:rsidRPr="002A0F76">
              <w:rPr>
                <w:rFonts w:ascii="Times New Roman" w:hAnsi="Times New Roman" w:cs="Times New Roman"/>
              </w:rPr>
              <w:t> </w:t>
            </w:r>
          </w:p>
        </w:tc>
        <w:tc>
          <w:tcPr>
            <w:tcW w:w="1890" w:type="dxa"/>
            <w:tcBorders>
              <w:top w:val="single" w:sz="6" w:space="0" w:color="auto"/>
              <w:left w:val="single" w:sz="6" w:space="0" w:color="auto"/>
              <w:bottom w:val="single" w:sz="6" w:space="0" w:color="auto"/>
              <w:right w:val="single" w:sz="6" w:space="0" w:color="auto"/>
            </w:tcBorders>
            <w:vAlign w:val="center"/>
            <w:hideMark/>
          </w:tcPr>
          <w:p w14:paraId="6494DDC7"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Oversight views</w:t>
            </w:r>
            <w:r w:rsidRPr="002A0F76">
              <w:rPr>
                <w:rFonts w:ascii="Times New Roman" w:hAnsi="Times New Roman" w:cs="Times New Roman"/>
              </w:rPr>
              <w:t> </w:t>
            </w:r>
          </w:p>
        </w:tc>
        <w:tc>
          <w:tcPr>
            <w:tcW w:w="6480" w:type="dxa"/>
            <w:tcBorders>
              <w:top w:val="single" w:sz="6" w:space="0" w:color="auto"/>
              <w:left w:val="single" w:sz="6" w:space="0" w:color="auto"/>
              <w:bottom w:val="single" w:sz="6" w:space="0" w:color="auto"/>
              <w:right w:val="single" w:sz="6" w:space="0" w:color="auto"/>
            </w:tcBorders>
            <w:vAlign w:val="center"/>
            <w:hideMark/>
          </w:tcPr>
          <w:p w14:paraId="3E0D1607"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Authorized oversight users can identify open, overdue, resolved and closed requests and filter information by category and status.</w:t>
            </w:r>
            <w:r w:rsidRPr="002A0F76">
              <w:rPr>
                <w:rFonts w:ascii="Times New Roman" w:hAnsi="Times New Roman" w:cs="Times New Roman"/>
              </w:rPr>
              <w:t> </w:t>
            </w:r>
          </w:p>
        </w:tc>
      </w:tr>
      <w:tr w:rsidR="002A0F76" w:rsidRPr="002A0F76" w14:paraId="39D8998F"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4818B492"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S-IN-010</w:t>
            </w:r>
            <w:r w:rsidRPr="002A0F76">
              <w:rPr>
                <w:rFonts w:ascii="Times New Roman" w:hAnsi="Times New Roman" w:cs="Times New Roman"/>
              </w:rPr>
              <w:t> </w:t>
            </w:r>
          </w:p>
        </w:tc>
        <w:tc>
          <w:tcPr>
            <w:tcW w:w="1890" w:type="dxa"/>
            <w:tcBorders>
              <w:top w:val="single" w:sz="6" w:space="0" w:color="auto"/>
              <w:left w:val="single" w:sz="6" w:space="0" w:color="auto"/>
              <w:bottom w:val="single" w:sz="6" w:space="0" w:color="auto"/>
              <w:right w:val="single" w:sz="6" w:space="0" w:color="auto"/>
            </w:tcBorders>
            <w:vAlign w:val="center"/>
            <w:hideMark/>
          </w:tcPr>
          <w:p w14:paraId="76D41E47"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Due-date/overdue basis</w:t>
            </w:r>
            <w:r w:rsidRPr="002A0F76">
              <w:rPr>
                <w:rFonts w:ascii="Times New Roman" w:hAnsi="Times New Roman" w:cs="Times New Roman"/>
              </w:rPr>
              <w:t> </w:t>
            </w:r>
          </w:p>
        </w:tc>
        <w:tc>
          <w:tcPr>
            <w:tcW w:w="6480" w:type="dxa"/>
            <w:tcBorders>
              <w:top w:val="single" w:sz="6" w:space="0" w:color="auto"/>
              <w:left w:val="single" w:sz="6" w:space="0" w:color="auto"/>
              <w:bottom w:val="single" w:sz="6" w:space="0" w:color="auto"/>
              <w:right w:val="single" w:sz="6" w:space="0" w:color="auto"/>
            </w:tcBorders>
            <w:vAlign w:val="center"/>
            <w:hideMark/>
          </w:tcPr>
          <w:p w14:paraId="429A7072"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The system stores or derives a target resolution date using an approved rule so that overdue work can be identified. Automatic escalation is excluded.</w:t>
            </w:r>
            <w:r w:rsidRPr="002A0F76">
              <w:rPr>
                <w:rFonts w:ascii="Times New Roman" w:hAnsi="Times New Roman" w:cs="Times New Roman"/>
              </w:rPr>
              <w:t> </w:t>
            </w:r>
          </w:p>
        </w:tc>
      </w:tr>
    </w:tbl>
    <w:p w14:paraId="4587DC1D" w14:textId="77777777" w:rsidR="002A0F76" w:rsidRPr="002A0F76" w:rsidRDefault="002A0F76" w:rsidP="002A0F76">
      <w:pPr>
        <w:rPr>
          <w:rFonts w:ascii="Times New Roman" w:hAnsi="Times New Roman" w:cs="Times New Roman"/>
        </w:rPr>
      </w:pPr>
      <w:r w:rsidRPr="002A0F76">
        <w:rPr>
          <w:rFonts w:ascii="Times New Roman" w:hAnsi="Times New Roman" w:cs="Times New Roman"/>
        </w:rPr>
        <w:t> </w:t>
      </w:r>
    </w:p>
    <w:p w14:paraId="08142439" w14:textId="77777777" w:rsidR="002A0F76" w:rsidRPr="002A0F76" w:rsidRDefault="002A0F76" w:rsidP="002A0F76">
      <w:pPr>
        <w:rPr>
          <w:rFonts w:ascii="Times New Roman" w:hAnsi="Times New Roman" w:cs="Times New Roman"/>
          <w:b/>
          <w:bCs/>
        </w:rPr>
      </w:pPr>
      <w:r w:rsidRPr="002A0F76">
        <w:rPr>
          <w:rFonts w:ascii="Times New Roman" w:hAnsi="Times New Roman" w:cs="Times New Roman"/>
          <w:b/>
          <w:bCs/>
          <w:lang w:val="en-US"/>
        </w:rPr>
        <w:t>3.3 Out-of-scope items</w:t>
      </w:r>
      <w:r w:rsidRPr="002A0F76">
        <w:rPr>
          <w:rFonts w:ascii="Times New Roman" w:hAnsi="Times New Roman" w:cs="Times New Roman"/>
          <w:b/>
          <w:bCs/>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8"/>
        <w:gridCol w:w="2398"/>
        <w:gridCol w:w="5559"/>
      </w:tblGrid>
      <w:tr w:rsidR="002A0F76" w:rsidRPr="002A0F76" w14:paraId="51FB59DB" w14:textId="77777777">
        <w:tc>
          <w:tcPr>
            <w:tcW w:w="975" w:type="dxa"/>
            <w:tcBorders>
              <w:top w:val="single" w:sz="6" w:space="0" w:color="auto"/>
              <w:left w:val="single" w:sz="6" w:space="0" w:color="auto"/>
              <w:bottom w:val="single" w:sz="6" w:space="0" w:color="auto"/>
              <w:right w:val="single" w:sz="6" w:space="0" w:color="auto"/>
            </w:tcBorders>
            <w:shd w:val="clear" w:color="auto" w:fill="17365D"/>
            <w:vAlign w:val="center"/>
            <w:hideMark/>
          </w:tcPr>
          <w:p w14:paraId="07BE5077"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Scope ID</w:t>
            </w:r>
            <w:r w:rsidRPr="002A0F76">
              <w:rPr>
                <w:rFonts w:ascii="Times New Roman" w:hAnsi="Times New Roman" w:cs="Times New Roman"/>
              </w:rPr>
              <w:t> </w:t>
            </w:r>
          </w:p>
        </w:tc>
        <w:tc>
          <w:tcPr>
            <w:tcW w:w="2490" w:type="dxa"/>
            <w:tcBorders>
              <w:top w:val="single" w:sz="6" w:space="0" w:color="auto"/>
              <w:left w:val="single" w:sz="6" w:space="0" w:color="auto"/>
              <w:bottom w:val="single" w:sz="6" w:space="0" w:color="auto"/>
              <w:right w:val="single" w:sz="6" w:space="0" w:color="auto"/>
            </w:tcBorders>
            <w:shd w:val="clear" w:color="auto" w:fill="17365D"/>
            <w:vAlign w:val="center"/>
            <w:hideMark/>
          </w:tcPr>
          <w:p w14:paraId="2B2189B9"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Excluded item</w:t>
            </w:r>
            <w:r w:rsidRPr="002A0F76">
              <w:rPr>
                <w:rFonts w:ascii="Times New Roman" w:hAnsi="Times New Roman" w:cs="Times New Roman"/>
              </w:rPr>
              <w:t> </w:t>
            </w:r>
          </w:p>
        </w:tc>
        <w:tc>
          <w:tcPr>
            <w:tcW w:w="5880" w:type="dxa"/>
            <w:tcBorders>
              <w:top w:val="single" w:sz="6" w:space="0" w:color="auto"/>
              <w:left w:val="single" w:sz="6" w:space="0" w:color="auto"/>
              <w:bottom w:val="single" w:sz="6" w:space="0" w:color="auto"/>
              <w:right w:val="single" w:sz="6" w:space="0" w:color="auto"/>
            </w:tcBorders>
            <w:shd w:val="clear" w:color="auto" w:fill="17365D"/>
            <w:vAlign w:val="center"/>
            <w:hideMark/>
          </w:tcPr>
          <w:p w14:paraId="40AD434B"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Boundary statement</w:t>
            </w:r>
            <w:r w:rsidRPr="002A0F76">
              <w:rPr>
                <w:rFonts w:ascii="Times New Roman" w:hAnsi="Times New Roman" w:cs="Times New Roman"/>
              </w:rPr>
              <w:t> </w:t>
            </w:r>
          </w:p>
        </w:tc>
      </w:tr>
      <w:tr w:rsidR="002A0F76" w:rsidRPr="002A0F76" w14:paraId="1800E308"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32B2F695"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S-OUT-001</w:t>
            </w:r>
            <w:r w:rsidRPr="002A0F76">
              <w:rPr>
                <w:rFonts w:ascii="Times New Roman" w:hAnsi="Times New Roman" w:cs="Times New Roman"/>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6AA8BAC"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Automated intake from WhatsApp, telephone or email</w:t>
            </w:r>
            <w:r w:rsidRPr="002A0F76">
              <w:rPr>
                <w:rFonts w:ascii="Times New Roman" w:hAnsi="Times New Roman" w:cs="Times New Roman"/>
              </w:rPr>
              <w:t> </w:t>
            </w:r>
          </w:p>
        </w:tc>
        <w:tc>
          <w:tcPr>
            <w:tcW w:w="5880" w:type="dxa"/>
            <w:tcBorders>
              <w:top w:val="single" w:sz="6" w:space="0" w:color="auto"/>
              <w:left w:val="single" w:sz="6" w:space="0" w:color="auto"/>
              <w:bottom w:val="single" w:sz="6" w:space="0" w:color="auto"/>
              <w:right w:val="single" w:sz="6" w:space="0" w:color="auto"/>
            </w:tcBorders>
            <w:vAlign w:val="center"/>
            <w:hideMark/>
          </w:tcPr>
          <w:p w14:paraId="27BCFB49"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The baseline provides a single controlled web intake channel. Manual staff capture, if permitted by the client, must be specified separately and is not an automated integration.</w:t>
            </w:r>
            <w:r w:rsidRPr="002A0F76">
              <w:rPr>
                <w:rFonts w:ascii="Times New Roman" w:hAnsi="Times New Roman" w:cs="Times New Roman"/>
              </w:rPr>
              <w:t> </w:t>
            </w:r>
          </w:p>
        </w:tc>
      </w:tr>
      <w:tr w:rsidR="002A0F76" w:rsidRPr="002A0F76" w14:paraId="5FBC12B7"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751276A1"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S-OUT-002</w:t>
            </w:r>
            <w:r w:rsidRPr="002A0F76">
              <w:rPr>
                <w:rFonts w:ascii="Times New Roman" w:hAnsi="Times New Roman" w:cs="Times New Roman"/>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05DFEB0"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Native mobile applications</w:t>
            </w:r>
            <w:r w:rsidRPr="002A0F76">
              <w:rPr>
                <w:rFonts w:ascii="Times New Roman" w:hAnsi="Times New Roman" w:cs="Times New Roman"/>
              </w:rPr>
              <w:t> </w:t>
            </w:r>
          </w:p>
        </w:tc>
        <w:tc>
          <w:tcPr>
            <w:tcW w:w="5880" w:type="dxa"/>
            <w:tcBorders>
              <w:top w:val="single" w:sz="6" w:space="0" w:color="auto"/>
              <w:left w:val="single" w:sz="6" w:space="0" w:color="auto"/>
              <w:bottom w:val="single" w:sz="6" w:space="0" w:color="auto"/>
              <w:right w:val="single" w:sz="6" w:space="0" w:color="auto"/>
            </w:tcBorders>
            <w:vAlign w:val="center"/>
            <w:hideMark/>
          </w:tcPr>
          <w:p w14:paraId="11009E0D"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 responsive web interface is sufficient for this baseline.</w:t>
            </w:r>
            <w:r w:rsidRPr="002A0F76">
              <w:rPr>
                <w:rFonts w:ascii="Times New Roman" w:hAnsi="Times New Roman" w:cs="Times New Roman"/>
              </w:rPr>
              <w:t> </w:t>
            </w:r>
          </w:p>
        </w:tc>
      </w:tr>
      <w:tr w:rsidR="002A0F76" w:rsidRPr="002A0F76" w14:paraId="1A4BFA71"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4D26E6F3"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S-OUT-003</w:t>
            </w:r>
            <w:r w:rsidRPr="002A0F76">
              <w:rPr>
                <w:rFonts w:ascii="Times New Roman" w:hAnsi="Times New Roman" w:cs="Times New Roman"/>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876C467"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Multi-language localization</w:t>
            </w:r>
            <w:r w:rsidRPr="002A0F76">
              <w:rPr>
                <w:rFonts w:ascii="Times New Roman" w:hAnsi="Times New Roman" w:cs="Times New Roman"/>
              </w:rPr>
              <w:t> </w:t>
            </w:r>
          </w:p>
        </w:tc>
        <w:tc>
          <w:tcPr>
            <w:tcW w:w="5880" w:type="dxa"/>
            <w:tcBorders>
              <w:top w:val="single" w:sz="6" w:space="0" w:color="auto"/>
              <w:left w:val="single" w:sz="6" w:space="0" w:color="auto"/>
              <w:bottom w:val="single" w:sz="6" w:space="0" w:color="auto"/>
              <w:right w:val="single" w:sz="6" w:space="0" w:color="auto"/>
            </w:tcBorders>
            <w:vAlign w:val="center"/>
            <w:hideMark/>
          </w:tcPr>
          <w:p w14:paraId="2F59923D"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The baseline supports English only.</w:t>
            </w:r>
            <w:r w:rsidRPr="002A0F76">
              <w:rPr>
                <w:rFonts w:ascii="Times New Roman" w:hAnsi="Times New Roman" w:cs="Times New Roman"/>
              </w:rPr>
              <w:t> </w:t>
            </w:r>
          </w:p>
        </w:tc>
      </w:tr>
      <w:tr w:rsidR="002A0F76" w:rsidRPr="002A0F76" w14:paraId="7FE690E8"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6FD37114"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S-OUT-004</w:t>
            </w:r>
            <w:r w:rsidRPr="002A0F76">
              <w:rPr>
                <w:rFonts w:ascii="Times New Roman" w:hAnsi="Times New Roman" w:cs="Times New Roman"/>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DA5F6AB"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Payment or billing</w:t>
            </w:r>
            <w:r w:rsidRPr="002A0F76">
              <w:rPr>
                <w:rFonts w:ascii="Times New Roman" w:hAnsi="Times New Roman" w:cs="Times New Roman"/>
              </w:rPr>
              <w:t> </w:t>
            </w:r>
          </w:p>
        </w:tc>
        <w:tc>
          <w:tcPr>
            <w:tcW w:w="5880" w:type="dxa"/>
            <w:tcBorders>
              <w:top w:val="single" w:sz="6" w:space="0" w:color="auto"/>
              <w:left w:val="single" w:sz="6" w:space="0" w:color="auto"/>
              <w:bottom w:val="single" w:sz="6" w:space="0" w:color="auto"/>
              <w:right w:val="single" w:sz="6" w:space="0" w:color="auto"/>
            </w:tcBorders>
            <w:vAlign w:val="center"/>
            <w:hideMark/>
          </w:tcPr>
          <w:p w14:paraId="02F4AEE7"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No financial transaction or invoicing workflow is included.</w:t>
            </w:r>
            <w:r w:rsidRPr="002A0F76">
              <w:rPr>
                <w:rFonts w:ascii="Times New Roman" w:hAnsi="Times New Roman" w:cs="Times New Roman"/>
              </w:rPr>
              <w:t> </w:t>
            </w:r>
          </w:p>
        </w:tc>
      </w:tr>
      <w:tr w:rsidR="002A0F76" w:rsidRPr="002A0F76" w14:paraId="6B5E4F73"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4B520EF1"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S-OUT-005</w:t>
            </w:r>
            <w:r w:rsidRPr="002A0F76">
              <w:rPr>
                <w:rFonts w:ascii="Times New Roman" w:hAnsi="Times New Roman" w:cs="Times New Roman"/>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6140B4B"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AI-driven triage or routing</w:t>
            </w:r>
            <w:r w:rsidRPr="002A0F76">
              <w:rPr>
                <w:rFonts w:ascii="Times New Roman" w:hAnsi="Times New Roman" w:cs="Times New Roman"/>
              </w:rPr>
              <w:t> </w:t>
            </w:r>
          </w:p>
        </w:tc>
        <w:tc>
          <w:tcPr>
            <w:tcW w:w="5880" w:type="dxa"/>
            <w:tcBorders>
              <w:top w:val="single" w:sz="6" w:space="0" w:color="auto"/>
              <w:left w:val="single" w:sz="6" w:space="0" w:color="auto"/>
              <w:bottom w:val="single" w:sz="6" w:space="0" w:color="auto"/>
              <w:right w:val="single" w:sz="6" w:space="0" w:color="auto"/>
            </w:tcBorders>
            <w:vAlign w:val="center"/>
            <w:hideMark/>
          </w:tcPr>
          <w:p w14:paraId="6A020A9E"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Categorization and assignment are controlled user actions where no predictive or generative routing is committed.</w:t>
            </w:r>
            <w:r w:rsidRPr="002A0F76">
              <w:rPr>
                <w:rFonts w:ascii="Times New Roman" w:hAnsi="Times New Roman" w:cs="Times New Roman"/>
              </w:rPr>
              <w:t> </w:t>
            </w:r>
          </w:p>
        </w:tc>
      </w:tr>
      <w:tr w:rsidR="002A0F76" w:rsidRPr="002A0F76" w14:paraId="5D5892AF"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1C1AD8E1"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S-OUT-006</w:t>
            </w:r>
            <w:r w:rsidRPr="002A0F76">
              <w:rPr>
                <w:rFonts w:ascii="Times New Roman" w:hAnsi="Times New Roman" w:cs="Times New Roman"/>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CFEEB02"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Advanced analytics / BI</w:t>
            </w:r>
            <w:r w:rsidRPr="002A0F76">
              <w:rPr>
                <w:rFonts w:ascii="Times New Roman" w:hAnsi="Times New Roman" w:cs="Times New Roman"/>
              </w:rPr>
              <w:t> </w:t>
            </w:r>
          </w:p>
        </w:tc>
        <w:tc>
          <w:tcPr>
            <w:tcW w:w="5880" w:type="dxa"/>
            <w:tcBorders>
              <w:top w:val="single" w:sz="6" w:space="0" w:color="auto"/>
              <w:left w:val="single" w:sz="6" w:space="0" w:color="auto"/>
              <w:bottom w:val="single" w:sz="6" w:space="0" w:color="auto"/>
              <w:right w:val="single" w:sz="6" w:space="0" w:color="auto"/>
            </w:tcBorders>
            <w:vAlign w:val="center"/>
            <w:hideMark/>
          </w:tcPr>
          <w:p w14:paraId="6A8A7933"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Only the oversight views in S-IN-009 are committed where forecasting, custom BI and data warehouses are excluded.</w:t>
            </w:r>
            <w:r w:rsidRPr="002A0F76">
              <w:rPr>
                <w:rFonts w:ascii="Times New Roman" w:hAnsi="Times New Roman" w:cs="Times New Roman"/>
              </w:rPr>
              <w:t> </w:t>
            </w:r>
          </w:p>
        </w:tc>
      </w:tr>
      <w:tr w:rsidR="002A0F76" w:rsidRPr="002A0F76" w14:paraId="2954F8AF"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2A0038C4"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S-OUT-007</w:t>
            </w:r>
            <w:r w:rsidRPr="002A0F76">
              <w:rPr>
                <w:rFonts w:ascii="Times New Roman" w:hAnsi="Times New Roman" w:cs="Times New Roman"/>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58E6DF9"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External asset-management or HR integration</w:t>
            </w:r>
            <w:r w:rsidRPr="002A0F76">
              <w:rPr>
                <w:rFonts w:ascii="Times New Roman" w:hAnsi="Times New Roman" w:cs="Times New Roman"/>
              </w:rPr>
              <w:t> </w:t>
            </w:r>
          </w:p>
        </w:tc>
        <w:tc>
          <w:tcPr>
            <w:tcW w:w="5880" w:type="dxa"/>
            <w:tcBorders>
              <w:top w:val="single" w:sz="6" w:space="0" w:color="auto"/>
              <w:left w:val="single" w:sz="6" w:space="0" w:color="auto"/>
              <w:bottom w:val="single" w:sz="6" w:space="0" w:color="auto"/>
              <w:right w:val="single" w:sz="6" w:space="0" w:color="auto"/>
            </w:tcBorders>
            <w:vAlign w:val="center"/>
            <w:hideMark/>
          </w:tcPr>
          <w:p w14:paraId="241DE132"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No external enterprise-system synchronization is included.</w:t>
            </w:r>
            <w:r w:rsidRPr="002A0F76">
              <w:rPr>
                <w:rFonts w:ascii="Times New Roman" w:hAnsi="Times New Roman" w:cs="Times New Roman"/>
              </w:rPr>
              <w:t> </w:t>
            </w:r>
          </w:p>
        </w:tc>
      </w:tr>
      <w:tr w:rsidR="002A0F76" w:rsidRPr="002A0F76" w14:paraId="095FDA30"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3BD509EC"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S-OUT-008</w:t>
            </w:r>
            <w:r w:rsidRPr="002A0F76">
              <w:rPr>
                <w:rFonts w:ascii="Times New Roman" w:hAnsi="Times New Roman" w:cs="Times New Roman"/>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6EA6CFC"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Multi-organization / multi-tenant operation</w:t>
            </w:r>
            <w:r w:rsidRPr="002A0F76">
              <w:rPr>
                <w:rFonts w:ascii="Times New Roman" w:hAnsi="Times New Roman" w:cs="Times New Roman"/>
              </w:rPr>
              <w:t> </w:t>
            </w:r>
          </w:p>
        </w:tc>
        <w:tc>
          <w:tcPr>
            <w:tcW w:w="5880" w:type="dxa"/>
            <w:tcBorders>
              <w:top w:val="single" w:sz="6" w:space="0" w:color="auto"/>
              <w:left w:val="single" w:sz="6" w:space="0" w:color="auto"/>
              <w:bottom w:val="single" w:sz="6" w:space="0" w:color="auto"/>
              <w:right w:val="single" w:sz="6" w:space="0" w:color="auto"/>
            </w:tcBorders>
            <w:vAlign w:val="center"/>
            <w:hideMark/>
          </w:tcPr>
          <w:p w14:paraId="1A63FFFA"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The baseline serves one organization and one controlled deployment context.</w:t>
            </w:r>
            <w:r w:rsidRPr="002A0F76">
              <w:rPr>
                <w:rFonts w:ascii="Times New Roman" w:hAnsi="Times New Roman" w:cs="Times New Roman"/>
              </w:rPr>
              <w:t> </w:t>
            </w:r>
          </w:p>
        </w:tc>
      </w:tr>
    </w:tbl>
    <w:p w14:paraId="3D42180A" w14:textId="77777777" w:rsidR="002A0F76" w:rsidRPr="002A0F76" w:rsidRDefault="002A0F76" w:rsidP="002A0F76">
      <w:pPr>
        <w:rPr>
          <w:rFonts w:ascii="Times New Roman" w:hAnsi="Times New Roman" w:cs="Times New Roman"/>
        </w:rPr>
      </w:pPr>
      <w:r w:rsidRPr="002A0F76">
        <w:rPr>
          <w:rFonts w:ascii="Times New Roman" w:hAnsi="Times New Roman" w:cs="Times New Roman"/>
        </w:rPr>
        <w:t> </w:t>
      </w:r>
    </w:p>
    <w:p w14:paraId="2BA0FEBE" w14:textId="77777777" w:rsidR="002A0F76" w:rsidRPr="002A0F76" w:rsidRDefault="002A0F76" w:rsidP="002A0F76">
      <w:pPr>
        <w:rPr>
          <w:rFonts w:ascii="Times New Roman" w:hAnsi="Times New Roman" w:cs="Times New Roman"/>
          <w:b/>
          <w:bCs/>
        </w:rPr>
      </w:pPr>
      <w:r w:rsidRPr="002A0F76">
        <w:rPr>
          <w:rFonts w:ascii="Times New Roman" w:hAnsi="Times New Roman" w:cs="Times New Roman"/>
          <w:b/>
          <w:bCs/>
          <w:lang w:val="en-US"/>
        </w:rPr>
        <w:lastRenderedPageBreak/>
        <w:t>3.4 Deferred / future candidates</w:t>
      </w:r>
      <w:r w:rsidRPr="002A0F76">
        <w:rPr>
          <w:rFonts w:ascii="Times New Roman" w:hAnsi="Times New Roman" w:cs="Times New Roman"/>
          <w:b/>
          <w:bCs/>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4"/>
        <w:gridCol w:w="2385"/>
        <w:gridCol w:w="5576"/>
      </w:tblGrid>
      <w:tr w:rsidR="002A0F76" w:rsidRPr="002A0F76" w14:paraId="5768EF3C" w14:textId="77777777">
        <w:tc>
          <w:tcPr>
            <w:tcW w:w="975" w:type="dxa"/>
            <w:tcBorders>
              <w:top w:val="single" w:sz="6" w:space="0" w:color="auto"/>
              <w:left w:val="single" w:sz="6" w:space="0" w:color="auto"/>
              <w:bottom w:val="single" w:sz="6" w:space="0" w:color="auto"/>
              <w:right w:val="single" w:sz="6" w:space="0" w:color="auto"/>
            </w:tcBorders>
            <w:shd w:val="clear" w:color="auto" w:fill="17365D"/>
            <w:vAlign w:val="center"/>
            <w:hideMark/>
          </w:tcPr>
          <w:p w14:paraId="5A5980F6"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Scope ID</w:t>
            </w:r>
            <w:r w:rsidRPr="002A0F76">
              <w:rPr>
                <w:rFonts w:ascii="Times New Roman" w:hAnsi="Times New Roman" w:cs="Times New Roman"/>
              </w:rPr>
              <w:t> </w:t>
            </w:r>
          </w:p>
        </w:tc>
        <w:tc>
          <w:tcPr>
            <w:tcW w:w="2445" w:type="dxa"/>
            <w:tcBorders>
              <w:top w:val="single" w:sz="6" w:space="0" w:color="auto"/>
              <w:left w:val="single" w:sz="6" w:space="0" w:color="auto"/>
              <w:bottom w:val="single" w:sz="6" w:space="0" w:color="auto"/>
              <w:right w:val="single" w:sz="6" w:space="0" w:color="auto"/>
            </w:tcBorders>
            <w:shd w:val="clear" w:color="auto" w:fill="17365D"/>
            <w:vAlign w:val="center"/>
            <w:hideMark/>
          </w:tcPr>
          <w:p w14:paraId="36B53136"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Candidate</w:t>
            </w:r>
            <w:r w:rsidRPr="002A0F76">
              <w:rPr>
                <w:rFonts w:ascii="Times New Roman" w:hAnsi="Times New Roman" w:cs="Times New Roman"/>
              </w:rPr>
              <w:t> </w:t>
            </w:r>
          </w:p>
        </w:tc>
        <w:tc>
          <w:tcPr>
            <w:tcW w:w="5925" w:type="dxa"/>
            <w:tcBorders>
              <w:top w:val="single" w:sz="6" w:space="0" w:color="auto"/>
              <w:left w:val="single" w:sz="6" w:space="0" w:color="auto"/>
              <w:bottom w:val="single" w:sz="6" w:space="0" w:color="auto"/>
              <w:right w:val="single" w:sz="6" w:space="0" w:color="auto"/>
            </w:tcBorders>
            <w:shd w:val="clear" w:color="auto" w:fill="17365D"/>
            <w:vAlign w:val="center"/>
            <w:hideMark/>
          </w:tcPr>
          <w:p w14:paraId="602DC845"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Conditions before consideration</w:t>
            </w:r>
            <w:r w:rsidRPr="002A0F76">
              <w:rPr>
                <w:rFonts w:ascii="Times New Roman" w:hAnsi="Times New Roman" w:cs="Times New Roman"/>
              </w:rPr>
              <w:t> </w:t>
            </w:r>
          </w:p>
        </w:tc>
      </w:tr>
      <w:tr w:rsidR="002A0F76" w:rsidRPr="002A0F76" w14:paraId="34704FF0"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6FAEA769"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S-DEF-001</w:t>
            </w:r>
            <w:r w:rsidRPr="002A0F76">
              <w:rPr>
                <w:rFonts w:ascii="Times New Roman" w:hAnsi="Times New Roman" w:cs="Times New Roman"/>
              </w:rPr>
              <w:t> </w:t>
            </w:r>
          </w:p>
        </w:tc>
        <w:tc>
          <w:tcPr>
            <w:tcW w:w="2445" w:type="dxa"/>
            <w:tcBorders>
              <w:top w:val="single" w:sz="6" w:space="0" w:color="auto"/>
              <w:left w:val="single" w:sz="6" w:space="0" w:color="auto"/>
              <w:bottom w:val="single" w:sz="6" w:space="0" w:color="auto"/>
              <w:right w:val="single" w:sz="6" w:space="0" w:color="auto"/>
            </w:tcBorders>
            <w:vAlign w:val="center"/>
            <w:hideMark/>
          </w:tcPr>
          <w:p w14:paraId="1A596673"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SLA-based automatic escalation</w:t>
            </w:r>
            <w:r w:rsidRPr="002A0F76">
              <w:rPr>
                <w:rFonts w:ascii="Times New Roman" w:hAnsi="Times New Roman" w:cs="Times New Roman"/>
              </w:rPr>
              <w:t> </w:t>
            </w:r>
          </w:p>
        </w:tc>
        <w:tc>
          <w:tcPr>
            <w:tcW w:w="5925" w:type="dxa"/>
            <w:tcBorders>
              <w:top w:val="single" w:sz="6" w:space="0" w:color="auto"/>
              <w:left w:val="single" w:sz="6" w:space="0" w:color="auto"/>
              <w:bottom w:val="single" w:sz="6" w:space="0" w:color="auto"/>
              <w:right w:val="single" w:sz="6" w:space="0" w:color="auto"/>
            </w:tcBorders>
            <w:vAlign w:val="center"/>
            <w:hideMark/>
          </w:tcPr>
          <w:p w14:paraId="72BC14A1"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Requires approved service targets, exception paths and notification rules.</w:t>
            </w:r>
            <w:r w:rsidRPr="002A0F76">
              <w:rPr>
                <w:rFonts w:ascii="Times New Roman" w:hAnsi="Times New Roman" w:cs="Times New Roman"/>
              </w:rPr>
              <w:t> </w:t>
            </w:r>
          </w:p>
        </w:tc>
      </w:tr>
      <w:tr w:rsidR="002A0F76" w:rsidRPr="002A0F76" w14:paraId="09C95166"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53B76FF2"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S-DEF-002</w:t>
            </w:r>
            <w:r w:rsidRPr="002A0F76">
              <w:rPr>
                <w:rFonts w:ascii="Times New Roman" w:hAnsi="Times New Roman" w:cs="Times New Roman"/>
              </w:rPr>
              <w:t> </w:t>
            </w:r>
          </w:p>
        </w:tc>
        <w:tc>
          <w:tcPr>
            <w:tcW w:w="2445" w:type="dxa"/>
            <w:tcBorders>
              <w:top w:val="single" w:sz="6" w:space="0" w:color="auto"/>
              <w:left w:val="single" w:sz="6" w:space="0" w:color="auto"/>
              <w:bottom w:val="single" w:sz="6" w:space="0" w:color="auto"/>
              <w:right w:val="single" w:sz="6" w:space="0" w:color="auto"/>
            </w:tcBorders>
            <w:vAlign w:val="center"/>
            <w:hideMark/>
          </w:tcPr>
          <w:p w14:paraId="3F4E74E0"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Email/SMS notifications</w:t>
            </w:r>
            <w:r w:rsidRPr="002A0F76">
              <w:rPr>
                <w:rFonts w:ascii="Times New Roman" w:hAnsi="Times New Roman" w:cs="Times New Roman"/>
              </w:rPr>
              <w:t> </w:t>
            </w:r>
          </w:p>
        </w:tc>
        <w:tc>
          <w:tcPr>
            <w:tcW w:w="5925" w:type="dxa"/>
            <w:tcBorders>
              <w:top w:val="single" w:sz="6" w:space="0" w:color="auto"/>
              <w:left w:val="single" w:sz="6" w:space="0" w:color="auto"/>
              <w:bottom w:val="single" w:sz="6" w:space="0" w:color="auto"/>
              <w:right w:val="single" w:sz="6" w:space="0" w:color="auto"/>
            </w:tcBorders>
            <w:vAlign w:val="center"/>
            <w:hideMark/>
          </w:tcPr>
          <w:p w14:paraId="3FE686AC"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Requires provider, cost, consent, privacy, failure-handling and delivery decisions.</w:t>
            </w:r>
            <w:r w:rsidRPr="002A0F76">
              <w:rPr>
                <w:rFonts w:ascii="Times New Roman" w:hAnsi="Times New Roman" w:cs="Times New Roman"/>
              </w:rPr>
              <w:t> </w:t>
            </w:r>
          </w:p>
        </w:tc>
      </w:tr>
      <w:tr w:rsidR="002A0F76" w:rsidRPr="002A0F76" w14:paraId="67D32396"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0B447286"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S-DEF-003</w:t>
            </w:r>
            <w:r w:rsidRPr="002A0F76">
              <w:rPr>
                <w:rFonts w:ascii="Times New Roman" w:hAnsi="Times New Roman" w:cs="Times New Roman"/>
              </w:rPr>
              <w:t> </w:t>
            </w:r>
          </w:p>
        </w:tc>
        <w:tc>
          <w:tcPr>
            <w:tcW w:w="2445" w:type="dxa"/>
            <w:tcBorders>
              <w:top w:val="single" w:sz="6" w:space="0" w:color="auto"/>
              <w:left w:val="single" w:sz="6" w:space="0" w:color="auto"/>
              <w:bottom w:val="single" w:sz="6" w:space="0" w:color="auto"/>
              <w:right w:val="single" w:sz="6" w:space="0" w:color="auto"/>
            </w:tcBorders>
            <w:vAlign w:val="center"/>
            <w:hideMark/>
          </w:tcPr>
          <w:p w14:paraId="5BEA488F"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Exportable analytics/reports</w:t>
            </w:r>
            <w:r w:rsidRPr="002A0F76">
              <w:rPr>
                <w:rFonts w:ascii="Times New Roman" w:hAnsi="Times New Roman" w:cs="Times New Roman"/>
              </w:rPr>
              <w:t> </w:t>
            </w:r>
          </w:p>
        </w:tc>
        <w:tc>
          <w:tcPr>
            <w:tcW w:w="5925" w:type="dxa"/>
            <w:tcBorders>
              <w:top w:val="single" w:sz="6" w:space="0" w:color="auto"/>
              <w:left w:val="single" w:sz="6" w:space="0" w:color="auto"/>
              <w:bottom w:val="single" w:sz="6" w:space="0" w:color="auto"/>
              <w:right w:val="single" w:sz="6" w:space="0" w:color="auto"/>
            </w:tcBorders>
            <w:vAlign w:val="center"/>
            <w:hideMark/>
          </w:tcPr>
          <w:p w14:paraId="45EE7389"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Requires approved formats, access rules, data minimization and reporting acceptance criteria.</w:t>
            </w:r>
            <w:r w:rsidRPr="002A0F76">
              <w:rPr>
                <w:rFonts w:ascii="Times New Roman" w:hAnsi="Times New Roman" w:cs="Times New Roman"/>
              </w:rPr>
              <w:t> </w:t>
            </w:r>
          </w:p>
        </w:tc>
      </w:tr>
      <w:tr w:rsidR="002A0F76" w:rsidRPr="002A0F76" w14:paraId="1E76DC56"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2A092303"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S-DEF-004</w:t>
            </w:r>
            <w:r w:rsidRPr="002A0F76">
              <w:rPr>
                <w:rFonts w:ascii="Times New Roman" w:hAnsi="Times New Roman" w:cs="Times New Roman"/>
              </w:rPr>
              <w:t> </w:t>
            </w:r>
          </w:p>
        </w:tc>
        <w:tc>
          <w:tcPr>
            <w:tcW w:w="2445" w:type="dxa"/>
            <w:tcBorders>
              <w:top w:val="single" w:sz="6" w:space="0" w:color="auto"/>
              <w:left w:val="single" w:sz="6" w:space="0" w:color="auto"/>
              <w:bottom w:val="single" w:sz="6" w:space="0" w:color="auto"/>
              <w:right w:val="single" w:sz="6" w:space="0" w:color="auto"/>
            </w:tcBorders>
            <w:vAlign w:val="center"/>
            <w:hideMark/>
          </w:tcPr>
          <w:p w14:paraId="3B90E4AF"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Attachment/photo upload</w:t>
            </w:r>
            <w:r w:rsidRPr="002A0F76">
              <w:rPr>
                <w:rFonts w:ascii="Times New Roman" w:hAnsi="Times New Roman" w:cs="Times New Roman"/>
              </w:rPr>
              <w:t> </w:t>
            </w:r>
          </w:p>
        </w:tc>
        <w:tc>
          <w:tcPr>
            <w:tcW w:w="5925" w:type="dxa"/>
            <w:tcBorders>
              <w:top w:val="single" w:sz="6" w:space="0" w:color="auto"/>
              <w:left w:val="single" w:sz="6" w:space="0" w:color="auto"/>
              <w:bottom w:val="single" w:sz="6" w:space="0" w:color="auto"/>
              <w:right w:val="single" w:sz="6" w:space="0" w:color="auto"/>
            </w:tcBorders>
            <w:vAlign w:val="center"/>
            <w:hideMark/>
          </w:tcPr>
          <w:p w14:paraId="40A1E910"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Requires storage limits, malware/content handling, access controls, retention and privacy analysis.</w:t>
            </w:r>
            <w:r w:rsidRPr="002A0F76">
              <w:rPr>
                <w:rFonts w:ascii="Times New Roman" w:hAnsi="Times New Roman" w:cs="Times New Roman"/>
              </w:rPr>
              <w:t> </w:t>
            </w:r>
          </w:p>
        </w:tc>
      </w:tr>
      <w:tr w:rsidR="002A0F76" w:rsidRPr="002A0F76" w14:paraId="0606CA15" w14:textId="77777777">
        <w:tc>
          <w:tcPr>
            <w:tcW w:w="975" w:type="dxa"/>
            <w:tcBorders>
              <w:top w:val="single" w:sz="6" w:space="0" w:color="auto"/>
              <w:left w:val="single" w:sz="6" w:space="0" w:color="auto"/>
              <w:bottom w:val="single" w:sz="6" w:space="0" w:color="auto"/>
              <w:right w:val="single" w:sz="6" w:space="0" w:color="auto"/>
            </w:tcBorders>
            <w:vAlign w:val="center"/>
            <w:hideMark/>
          </w:tcPr>
          <w:p w14:paraId="50EF9AB2"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S-DEF-005</w:t>
            </w:r>
            <w:r w:rsidRPr="002A0F76">
              <w:rPr>
                <w:rFonts w:ascii="Times New Roman" w:hAnsi="Times New Roman" w:cs="Times New Roman"/>
              </w:rPr>
              <w:t> </w:t>
            </w:r>
          </w:p>
        </w:tc>
        <w:tc>
          <w:tcPr>
            <w:tcW w:w="2445" w:type="dxa"/>
            <w:tcBorders>
              <w:top w:val="single" w:sz="6" w:space="0" w:color="auto"/>
              <w:left w:val="single" w:sz="6" w:space="0" w:color="auto"/>
              <w:bottom w:val="single" w:sz="6" w:space="0" w:color="auto"/>
              <w:right w:val="single" w:sz="6" w:space="0" w:color="auto"/>
            </w:tcBorders>
            <w:vAlign w:val="center"/>
            <w:hideMark/>
          </w:tcPr>
          <w:p w14:paraId="130E7522"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Multi-channel automated intake</w:t>
            </w:r>
            <w:r w:rsidRPr="002A0F76">
              <w:rPr>
                <w:rFonts w:ascii="Times New Roman" w:hAnsi="Times New Roman" w:cs="Times New Roman"/>
              </w:rPr>
              <w:t> </w:t>
            </w:r>
          </w:p>
        </w:tc>
        <w:tc>
          <w:tcPr>
            <w:tcW w:w="5925" w:type="dxa"/>
            <w:tcBorders>
              <w:top w:val="single" w:sz="6" w:space="0" w:color="auto"/>
              <w:left w:val="single" w:sz="6" w:space="0" w:color="auto"/>
              <w:bottom w:val="single" w:sz="6" w:space="0" w:color="auto"/>
              <w:right w:val="single" w:sz="6" w:space="0" w:color="auto"/>
            </w:tcBorders>
            <w:vAlign w:val="center"/>
            <w:hideMark/>
          </w:tcPr>
          <w:p w14:paraId="2CB0645B"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Requires external APIs, identity/correlation rules, security, availability and cost analysis.</w:t>
            </w:r>
            <w:r w:rsidRPr="002A0F76">
              <w:rPr>
                <w:rFonts w:ascii="Times New Roman" w:hAnsi="Times New Roman" w:cs="Times New Roman"/>
              </w:rPr>
              <w:t> </w:t>
            </w:r>
          </w:p>
        </w:tc>
      </w:tr>
    </w:tbl>
    <w:p w14:paraId="4D8344FF" w14:textId="77777777" w:rsidR="002A0F76" w:rsidRPr="002A0F76" w:rsidRDefault="002A0F76" w:rsidP="002A0F76">
      <w:pPr>
        <w:rPr>
          <w:rFonts w:ascii="Times New Roman" w:hAnsi="Times New Roman" w:cs="Times New Roman"/>
        </w:rPr>
      </w:pPr>
      <w:r w:rsidRPr="002A0F76">
        <w:rPr>
          <w:rFonts w:ascii="Times New Roman" w:hAnsi="Times New Roman" w:cs="Times New Roman"/>
        </w:rPr>
        <w:t> </w:t>
      </w:r>
    </w:p>
    <w:p w14:paraId="3FFABB69" w14:textId="77777777" w:rsidR="002A0F76" w:rsidRPr="002A0F76" w:rsidRDefault="002A0F76" w:rsidP="002A0F76">
      <w:pPr>
        <w:rPr>
          <w:rFonts w:ascii="Times New Roman" w:hAnsi="Times New Roman" w:cs="Times New Roman"/>
          <w:b/>
          <w:bCs/>
        </w:rPr>
      </w:pPr>
      <w:r w:rsidRPr="002A0F76">
        <w:rPr>
          <w:rFonts w:ascii="Times New Roman" w:hAnsi="Times New Roman" w:cs="Times New Roman"/>
          <w:b/>
          <w:bCs/>
          <w:lang w:val="en-US"/>
        </w:rPr>
        <w:t>3.5 Deliberate exclusion defense: automated informal-channel intake </w:t>
      </w:r>
      <w:r w:rsidRPr="002A0F76">
        <w:rPr>
          <w:rFonts w:ascii="Times New Roman" w:hAnsi="Times New Roman" w:cs="Times New Roman"/>
          <w:b/>
          <w:bCs/>
        </w:rPr>
        <w:t> </w:t>
      </w:r>
    </w:p>
    <w:p w14:paraId="10F47DA5"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 xml:space="preserve">Excluded item: </w:t>
      </w:r>
      <w:r w:rsidRPr="002A0F76">
        <w:rPr>
          <w:rFonts w:ascii="Times New Roman" w:hAnsi="Times New Roman" w:cs="Times New Roman"/>
          <w:lang w:val="en-US"/>
        </w:rPr>
        <w:t>Automated intake from WhatsApp, telephone and email channels (S-OUT-001).</w:t>
      </w:r>
      <w:r w:rsidRPr="002A0F76">
        <w:rPr>
          <w:rFonts w:ascii="Times New Roman" w:hAnsi="Times New Roman" w:cs="Times New Roman"/>
        </w:rPr>
        <w:t> </w:t>
      </w:r>
    </w:p>
    <w:p w14:paraId="0E84D5E5" w14:textId="77777777" w:rsidR="002A0F76" w:rsidRPr="002A0F76" w:rsidRDefault="002A0F76" w:rsidP="002A0F76">
      <w:pPr>
        <w:numPr>
          <w:ilvl w:val="0"/>
          <w:numId w:val="1"/>
        </w:numPr>
        <w:rPr>
          <w:rFonts w:ascii="Times New Roman" w:hAnsi="Times New Roman" w:cs="Times New Roman"/>
        </w:rPr>
      </w:pPr>
      <w:r w:rsidRPr="002A0F76">
        <w:rPr>
          <w:rFonts w:ascii="Times New Roman" w:hAnsi="Times New Roman" w:cs="Times New Roman"/>
          <w:b/>
          <w:bCs/>
          <w:lang w:val="en-US"/>
        </w:rPr>
        <w:t xml:space="preserve">Why it is attractive: </w:t>
      </w:r>
      <w:r w:rsidRPr="002A0F76">
        <w:rPr>
          <w:rFonts w:ascii="Times New Roman" w:hAnsi="Times New Roman" w:cs="Times New Roman"/>
          <w:lang w:val="en-US"/>
        </w:rPr>
        <w:t>These channels are named sources of fragmentation. Integrating them could reduce user behaviour change and appear to consolidate the current process directly.</w:t>
      </w:r>
      <w:r w:rsidRPr="002A0F76">
        <w:rPr>
          <w:rFonts w:ascii="Times New Roman" w:hAnsi="Times New Roman" w:cs="Times New Roman"/>
        </w:rPr>
        <w:t> </w:t>
      </w:r>
    </w:p>
    <w:p w14:paraId="190E7973" w14:textId="77777777" w:rsidR="002A0F76" w:rsidRPr="002A0F76" w:rsidRDefault="002A0F76" w:rsidP="002A0F76">
      <w:pPr>
        <w:numPr>
          <w:ilvl w:val="0"/>
          <w:numId w:val="2"/>
        </w:numPr>
        <w:rPr>
          <w:rFonts w:ascii="Times New Roman" w:hAnsi="Times New Roman" w:cs="Times New Roman"/>
        </w:rPr>
      </w:pPr>
      <w:r w:rsidRPr="002A0F76">
        <w:rPr>
          <w:rFonts w:ascii="Times New Roman" w:hAnsi="Times New Roman" w:cs="Times New Roman"/>
          <w:b/>
          <w:bCs/>
          <w:lang w:val="en-US"/>
        </w:rPr>
        <w:t xml:space="preserve">Schedule and resource rationale: </w:t>
      </w:r>
      <w:r w:rsidRPr="002A0F76">
        <w:rPr>
          <w:rFonts w:ascii="Times New Roman" w:hAnsi="Times New Roman" w:cs="Times New Roman"/>
          <w:lang w:val="en-US"/>
        </w:rPr>
        <w:t>A three-person academic team working across four milestones cannot responsibly commit to multiple third-party integrations while also specifying, constructing, securing, testing and deploying the core platform. The integration would materially increase dependency and schedule risk.</w:t>
      </w:r>
      <w:r w:rsidRPr="002A0F76">
        <w:rPr>
          <w:rFonts w:ascii="Times New Roman" w:hAnsi="Times New Roman" w:cs="Times New Roman"/>
        </w:rPr>
        <w:t> </w:t>
      </w:r>
    </w:p>
    <w:p w14:paraId="5B5600A6" w14:textId="77777777" w:rsidR="002A0F76" w:rsidRPr="002A0F76" w:rsidRDefault="002A0F76" w:rsidP="002A0F76">
      <w:pPr>
        <w:numPr>
          <w:ilvl w:val="0"/>
          <w:numId w:val="3"/>
        </w:numPr>
        <w:rPr>
          <w:rFonts w:ascii="Times New Roman" w:hAnsi="Times New Roman" w:cs="Times New Roman"/>
        </w:rPr>
      </w:pPr>
      <w:r w:rsidRPr="002A0F76">
        <w:rPr>
          <w:rFonts w:ascii="Times New Roman" w:hAnsi="Times New Roman" w:cs="Times New Roman"/>
          <w:b/>
          <w:bCs/>
          <w:lang w:val="en-US"/>
        </w:rPr>
        <w:t xml:space="preserve">Technology and security rationale: </w:t>
      </w:r>
      <w:r w:rsidRPr="002A0F76">
        <w:rPr>
          <w:rFonts w:ascii="Times New Roman" w:hAnsi="Times New Roman" w:cs="Times New Roman"/>
          <w:lang w:val="en-US"/>
        </w:rPr>
        <w:t>Messaging and email integrations introduce external authentication, rate limits, availability dependencies, identity matching, duplicate detection, consent and sensitive-data handling. Telephone intake additionally requires a defined transcription or staff-capture process.</w:t>
      </w:r>
      <w:r w:rsidRPr="002A0F76">
        <w:rPr>
          <w:rFonts w:ascii="Times New Roman" w:hAnsi="Times New Roman" w:cs="Times New Roman"/>
        </w:rPr>
        <w:t> </w:t>
      </w:r>
    </w:p>
    <w:p w14:paraId="0D63D246" w14:textId="77777777" w:rsidR="002A0F76" w:rsidRPr="002A0F76" w:rsidRDefault="002A0F76" w:rsidP="002A0F76">
      <w:pPr>
        <w:numPr>
          <w:ilvl w:val="0"/>
          <w:numId w:val="4"/>
        </w:numPr>
        <w:rPr>
          <w:rFonts w:ascii="Times New Roman" w:hAnsi="Times New Roman" w:cs="Times New Roman"/>
        </w:rPr>
      </w:pPr>
      <w:r w:rsidRPr="002A0F76">
        <w:rPr>
          <w:rFonts w:ascii="Times New Roman" w:hAnsi="Times New Roman" w:cs="Times New Roman"/>
          <w:b/>
          <w:bCs/>
          <w:lang w:val="en-US"/>
        </w:rPr>
        <w:t xml:space="preserve">Value rationale: </w:t>
      </w:r>
      <w:r w:rsidRPr="002A0F76">
        <w:rPr>
          <w:rFonts w:ascii="Times New Roman" w:hAnsi="Times New Roman" w:cs="Times New Roman"/>
          <w:lang w:val="en-US"/>
        </w:rPr>
        <w:t>The core business value is a single controlled request record with visible ownership, status, history and oversight. A controlled web channel can deliver that value without external integrations. Multi-channel automation is therefore an enhancement, not a precondition for the baseline solution.</w:t>
      </w:r>
      <w:r w:rsidRPr="002A0F76">
        <w:rPr>
          <w:rFonts w:ascii="Times New Roman" w:hAnsi="Times New Roman" w:cs="Times New Roman"/>
        </w:rPr>
        <w:t> </w:t>
      </w:r>
    </w:p>
    <w:p w14:paraId="49868578" w14:textId="77777777" w:rsidR="002A0F76" w:rsidRPr="002A0F76" w:rsidRDefault="002A0F76" w:rsidP="002A0F76">
      <w:pPr>
        <w:numPr>
          <w:ilvl w:val="0"/>
          <w:numId w:val="5"/>
        </w:numPr>
        <w:rPr>
          <w:rFonts w:ascii="Times New Roman" w:hAnsi="Times New Roman" w:cs="Times New Roman"/>
        </w:rPr>
      </w:pPr>
      <w:r w:rsidRPr="002A0F76">
        <w:rPr>
          <w:rFonts w:ascii="Times New Roman" w:hAnsi="Times New Roman" w:cs="Times New Roman"/>
          <w:b/>
          <w:bCs/>
          <w:lang w:val="en-US"/>
        </w:rPr>
        <w:t xml:space="preserve">Condition for reconsideration: </w:t>
      </w:r>
      <w:r w:rsidRPr="002A0F76">
        <w:rPr>
          <w:rFonts w:ascii="Times New Roman" w:hAnsi="Times New Roman" w:cs="Times New Roman"/>
          <w:lang w:val="en-US"/>
        </w:rPr>
        <w:t>After the core platform is stable, the client may request reconsideration. The team must analyse requirements, architecture, UI/API/data, privacy, quality/testing, scope, schedule/resources, cost, deployment, risk and technical debt before approval (Belgium Campus, 2026a).</w:t>
      </w:r>
      <w:r w:rsidRPr="002A0F76">
        <w:rPr>
          <w:rFonts w:ascii="Times New Roman" w:hAnsi="Times New Roman" w:cs="Times New Roman"/>
        </w:rPr>
        <w:t> </w:t>
      </w:r>
    </w:p>
    <w:p w14:paraId="48BB35B8" w14:textId="77777777" w:rsidR="002A0F76" w:rsidRPr="002A0F76" w:rsidRDefault="002A0F76" w:rsidP="002A0F76">
      <w:pPr>
        <w:rPr>
          <w:rFonts w:ascii="Times New Roman" w:hAnsi="Times New Roman" w:cs="Times New Roman"/>
          <w:b/>
          <w:bCs/>
        </w:rPr>
      </w:pPr>
      <w:r w:rsidRPr="002A0F76">
        <w:rPr>
          <w:rFonts w:ascii="Times New Roman" w:hAnsi="Times New Roman" w:cs="Times New Roman"/>
          <w:b/>
          <w:bCs/>
          <w:lang w:val="en-US"/>
        </w:rPr>
        <w:lastRenderedPageBreak/>
        <w:t>3.6 Scope-to-Constraint Interactions</w:t>
      </w:r>
      <w:r w:rsidRPr="002A0F76">
        <w:rPr>
          <w:rFonts w:ascii="Times New Roman" w:hAnsi="Times New Roman" w:cs="Times New Roman"/>
          <w:b/>
          <w:bCs/>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2"/>
        <w:gridCol w:w="4209"/>
        <w:gridCol w:w="3034"/>
      </w:tblGrid>
      <w:tr w:rsidR="002A0F76" w:rsidRPr="002A0F76" w14:paraId="0320F799" w14:textId="77777777">
        <w:tc>
          <w:tcPr>
            <w:tcW w:w="1590" w:type="dxa"/>
            <w:tcBorders>
              <w:top w:val="single" w:sz="6" w:space="0" w:color="auto"/>
              <w:left w:val="single" w:sz="6" w:space="0" w:color="auto"/>
              <w:bottom w:val="single" w:sz="6" w:space="0" w:color="auto"/>
              <w:right w:val="single" w:sz="6" w:space="0" w:color="auto"/>
            </w:tcBorders>
            <w:shd w:val="clear" w:color="auto" w:fill="17365D"/>
            <w:vAlign w:val="center"/>
            <w:hideMark/>
          </w:tcPr>
          <w:p w14:paraId="5108A79D"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Constraint area</w:t>
            </w:r>
            <w:r w:rsidRPr="002A0F76">
              <w:rPr>
                <w:rFonts w:ascii="Times New Roman" w:hAnsi="Times New Roman" w:cs="Times New Roman"/>
              </w:rPr>
              <w:t> </w:t>
            </w:r>
          </w:p>
        </w:tc>
        <w:tc>
          <w:tcPr>
            <w:tcW w:w="4560" w:type="dxa"/>
            <w:tcBorders>
              <w:top w:val="single" w:sz="6" w:space="0" w:color="auto"/>
              <w:left w:val="single" w:sz="6" w:space="0" w:color="auto"/>
              <w:bottom w:val="single" w:sz="6" w:space="0" w:color="auto"/>
              <w:right w:val="single" w:sz="6" w:space="0" w:color="auto"/>
            </w:tcBorders>
            <w:shd w:val="clear" w:color="auto" w:fill="17365D"/>
            <w:vAlign w:val="center"/>
            <w:hideMark/>
          </w:tcPr>
          <w:p w14:paraId="54130EB8"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Interaction with scope</w:t>
            </w:r>
            <w:r w:rsidRPr="002A0F76">
              <w:rPr>
                <w:rFonts w:ascii="Times New Roman" w:hAnsi="Times New Roman" w:cs="Times New Roman"/>
              </w:rPr>
              <w:t> </w:t>
            </w:r>
          </w:p>
        </w:tc>
        <w:tc>
          <w:tcPr>
            <w:tcW w:w="3195" w:type="dxa"/>
            <w:tcBorders>
              <w:top w:val="single" w:sz="6" w:space="0" w:color="auto"/>
              <w:left w:val="single" w:sz="6" w:space="0" w:color="auto"/>
              <w:bottom w:val="single" w:sz="6" w:space="0" w:color="auto"/>
              <w:right w:val="single" w:sz="6" w:space="0" w:color="auto"/>
            </w:tcBorders>
            <w:shd w:val="clear" w:color="auto" w:fill="17365D"/>
            <w:vAlign w:val="center"/>
            <w:hideMark/>
          </w:tcPr>
          <w:p w14:paraId="7A289D21" w14:textId="77777777" w:rsidR="002A0F76" w:rsidRPr="002A0F76" w:rsidRDefault="002A0F76" w:rsidP="002A0F76">
            <w:pPr>
              <w:rPr>
                <w:rFonts w:ascii="Times New Roman" w:hAnsi="Times New Roman" w:cs="Times New Roman"/>
              </w:rPr>
            </w:pPr>
            <w:r w:rsidRPr="002A0F76">
              <w:rPr>
                <w:rFonts w:ascii="Times New Roman" w:hAnsi="Times New Roman" w:cs="Times New Roman"/>
                <w:b/>
                <w:bCs/>
                <w:lang w:val="en-US"/>
              </w:rPr>
              <w:t>Required control/evidence</w:t>
            </w:r>
            <w:r w:rsidRPr="002A0F76">
              <w:rPr>
                <w:rFonts w:ascii="Times New Roman" w:hAnsi="Times New Roman" w:cs="Times New Roman"/>
              </w:rPr>
              <w:t> </w:t>
            </w:r>
          </w:p>
        </w:tc>
      </w:tr>
      <w:tr w:rsidR="002A0F76" w:rsidRPr="002A0F76" w14:paraId="52887F7D" w14:textId="77777777">
        <w:tc>
          <w:tcPr>
            <w:tcW w:w="1590" w:type="dxa"/>
            <w:tcBorders>
              <w:top w:val="single" w:sz="6" w:space="0" w:color="auto"/>
              <w:left w:val="single" w:sz="6" w:space="0" w:color="auto"/>
              <w:bottom w:val="single" w:sz="6" w:space="0" w:color="auto"/>
              <w:right w:val="single" w:sz="6" w:space="0" w:color="auto"/>
            </w:tcBorders>
            <w:vAlign w:val="center"/>
            <w:hideMark/>
          </w:tcPr>
          <w:p w14:paraId="22C75EC2"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Schedule</w:t>
            </w:r>
            <w:r w:rsidRPr="002A0F76">
              <w:rPr>
                <w:rFonts w:ascii="Times New Roman" w:hAnsi="Times New Roman" w:cs="Times New Roman"/>
              </w:rPr>
              <w:t> </w:t>
            </w:r>
          </w:p>
        </w:tc>
        <w:tc>
          <w:tcPr>
            <w:tcW w:w="4560" w:type="dxa"/>
            <w:tcBorders>
              <w:top w:val="single" w:sz="6" w:space="0" w:color="auto"/>
              <w:left w:val="single" w:sz="6" w:space="0" w:color="auto"/>
              <w:bottom w:val="single" w:sz="6" w:space="0" w:color="auto"/>
              <w:right w:val="single" w:sz="6" w:space="0" w:color="auto"/>
            </w:tcBorders>
            <w:vAlign w:val="center"/>
            <w:hideMark/>
          </w:tcPr>
          <w:p w14:paraId="558AF877"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External integrations, native apps and advanced analytics would compete with core workflow completion.</w:t>
            </w:r>
            <w:r w:rsidRPr="002A0F76">
              <w:rPr>
                <w:rFonts w:ascii="Times New Roman" w:hAnsi="Times New Roman" w:cs="Times New Roman"/>
              </w:rPr>
              <w:t> </w:t>
            </w:r>
          </w:p>
        </w:tc>
        <w:tc>
          <w:tcPr>
            <w:tcW w:w="3195" w:type="dxa"/>
            <w:tcBorders>
              <w:top w:val="single" w:sz="6" w:space="0" w:color="auto"/>
              <w:left w:val="single" w:sz="6" w:space="0" w:color="auto"/>
              <w:bottom w:val="single" w:sz="6" w:space="0" w:color="auto"/>
              <w:right w:val="single" w:sz="6" w:space="0" w:color="auto"/>
            </w:tcBorders>
            <w:vAlign w:val="center"/>
            <w:hideMark/>
          </w:tcPr>
          <w:p w14:paraId="4F6AE2B8"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Keep excluded/deferred unless approved impact analysis shows capacity and no unacceptable milestone risk.</w:t>
            </w:r>
            <w:r w:rsidRPr="002A0F76">
              <w:rPr>
                <w:rFonts w:ascii="Times New Roman" w:hAnsi="Times New Roman" w:cs="Times New Roman"/>
              </w:rPr>
              <w:t> </w:t>
            </w:r>
          </w:p>
        </w:tc>
      </w:tr>
      <w:tr w:rsidR="002A0F76" w:rsidRPr="002A0F76" w14:paraId="0909E926" w14:textId="77777777">
        <w:tc>
          <w:tcPr>
            <w:tcW w:w="1590" w:type="dxa"/>
            <w:tcBorders>
              <w:top w:val="single" w:sz="6" w:space="0" w:color="auto"/>
              <w:left w:val="single" w:sz="6" w:space="0" w:color="auto"/>
              <w:bottom w:val="single" w:sz="6" w:space="0" w:color="auto"/>
              <w:right w:val="single" w:sz="6" w:space="0" w:color="auto"/>
            </w:tcBorders>
            <w:vAlign w:val="center"/>
            <w:hideMark/>
          </w:tcPr>
          <w:p w14:paraId="598FC5A9"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Cost/resources</w:t>
            </w:r>
            <w:r w:rsidRPr="002A0F76">
              <w:rPr>
                <w:rFonts w:ascii="Times New Roman" w:hAnsi="Times New Roman" w:cs="Times New Roman"/>
              </w:rPr>
              <w:t> </w:t>
            </w:r>
          </w:p>
        </w:tc>
        <w:tc>
          <w:tcPr>
            <w:tcW w:w="4560" w:type="dxa"/>
            <w:tcBorders>
              <w:top w:val="single" w:sz="6" w:space="0" w:color="auto"/>
              <w:left w:val="single" w:sz="6" w:space="0" w:color="auto"/>
              <w:bottom w:val="single" w:sz="6" w:space="0" w:color="auto"/>
              <w:right w:val="single" w:sz="6" w:space="0" w:color="auto"/>
            </w:tcBorders>
            <w:vAlign w:val="center"/>
            <w:hideMark/>
          </w:tcPr>
          <w:p w14:paraId="7B9EC9C5"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Providers, hosting, storage and maintenance can create recurring costs beyond the academic team's capacity.</w:t>
            </w:r>
            <w:r w:rsidRPr="002A0F76">
              <w:rPr>
                <w:rFonts w:ascii="Times New Roman" w:hAnsi="Times New Roman" w:cs="Times New Roman"/>
              </w:rPr>
              <w:t> </w:t>
            </w:r>
          </w:p>
        </w:tc>
        <w:tc>
          <w:tcPr>
            <w:tcW w:w="3195" w:type="dxa"/>
            <w:tcBorders>
              <w:top w:val="single" w:sz="6" w:space="0" w:color="auto"/>
              <w:left w:val="single" w:sz="6" w:space="0" w:color="auto"/>
              <w:bottom w:val="single" w:sz="6" w:space="0" w:color="auto"/>
              <w:right w:val="single" w:sz="6" w:space="0" w:color="auto"/>
            </w:tcBorders>
            <w:vAlign w:val="center"/>
            <w:hideMark/>
          </w:tcPr>
          <w:p w14:paraId="15AF818E"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Record cost assumptions; prefer sustainable platform choices; approve new recurring costs explicitly.</w:t>
            </w:r>
            <w:r w:rsidRPr="002A0F76">
              <w:rPr>
                <w:rFonts w:ascii="Times New Roman" w:hAnsi="Times New Roman" w:cs="Times New Roman"/>
              </w:rPr>
              <w:t> </w:t>
            </w:r>
          </w:p>
        </w:tc>
      </w:tr>
      <w:tr w:rsidR="002A0F76" w:rsidRPr="002A0F76" w14:paraId="688BF3E4" w14:textId="77777777">
        <w:tc>
          <w:tcPr>
            <w:tcW w:w="1590" w:type="dxa"/>
            <w:tcBorders>
              <w:top w:val="single" w:sz="6" w:space="0" w:color="auto"/>
              <w:left w:val="single" w:sz="6" w:space="0" w:color="auto"/>
              <w:bottom w:val="single" w:sz="6" w:space="0" w:color="auto"/>
              <w:right w:val="single" w:sz="6" w:space="0" w:color="auto"/>
            </w:tcBorders>
            <w:vAlign w:val="center"/>
            <w:hideMark/>
          </w:tcPr>
          <w:p w14:paraId="5C4211FF"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Quality</w:t>
            </w:r>
            <w:r w:rsidRPr="002A0F76">
              <w:rPr>
                <w:rFonts w:ascii="Times New Roman" w:hAnsi="Times New Roman" w:cs="Times New Roman"/>
              </w:rPr>
              <w:t> </w:t>
            </w:r>
          </w:p>
        </w:tc>
        <w:tc>
          <w:tcPr>
            <w:tcW w:w="4560" w:type="dxa"/>
            <w:tcBorders>
              <w:top w:val="single" w:sz="6" w:space="0" w:color="auto"/>
              <w:left w:val="single" w:sz="6" w:space="0" w:color="auto"/>
              <w:bottom w:val="single" w:sz="6" w:space="0" w:color="auto"/>
              <w:right w:val="single" w:sz="6" w:space="0" w:color="auto"/>
            </w:tcBorders>
            <w:vAlign w:val="center"/>
            <w:hideMark/>
          </w:tcPr>
          <w:p w14:paraId="6DB95081"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Every scope item creates specification, usability, test, deployment and maintenance obligations.</w:t>
            </w:r>
            <w:r w:rsidRPr="002A0F76">
              <w:rPr>
                <w:rFonts w:ascii="Times New Roman" w:hAnsi="Times New Roman" w:cs="Times New Roman"/>
              </w:rPr>
              <w:t> </w:t>
            </w:r>
          </w:p>
        </w:tc>
        <w:tc>
          <w:tcPr>
            <w:tcW w:w="3195" w:type="dxa"/>
            <w:tcBorders>
              <w:top w:val="single" w:sz="6" w:space="0" w:color="auto"/>
              <w:left w:val="single" w:sz="6" w:space="0" w:color="auto"/>
              <w:bottom w:val="single" w:sz="6" w:space="0" w:color="auto"/>
              <w:right w:val="single" w:sz="6" w:space="0" w:color="auto"/>
            </w:tcBorders>
            <w:vAlign w:val="center"/>
            <w:hideMark/>
          </w:tcPr>
          <w:p w14:paraId="79526224"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Give committed capabilities measurable acceptance criteria and trace them through the RTM.</w:t>
            </w:r>
            <w:r w:rsidRPr="002A0F76">
              <w:rPr>
                <w:rFonts w:ascii="Times New Roman" w:hAnsi="Times New Roman" w:cs="Times New Roman"/>
              </w:rPr>
              <w:t> </w:t>
            </w:r>
          </w:p>
        </w:tc>
      </w:tr>
      <w:tr w:rsidR="002A0F76" w:rsidRPr="002A0F76" w14:paraId="2F222099" w14:textId="77777777">
        <w:tc>
          <w:tcPr>
            <w:tcW w:w="1590" w:type="dxa"/>
            <w:tcBorders>
              <w:top w:val="single" w:sz="6" w:space="0" w:color="auto"/>
              <w:left w:val="single" w:sz="6" w:space="0" w:color="auto"/>
              <w:bottom w:val="single" w:sz="6" w:space="0" w:color="auto"/>
              <w:right w:val="single" w:sz="6" w:space="0" w:color="auto"/>
            </w:tcBorders>
            <w:vAlign w:val="center"/>
            <w:hideMark/>
          </w:tcPr>
          <w:p w14:paraId="5C18528F"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Security/privacy</w:t>
            </w:r>
            <w:r w:rsidRPr="002A0F76">
              <w:rPr>
                <w:rFonts w:ascii="Times New Roman" w:hAnsi="Times New Roman" w:cs="Times New Roman"/>
              </w:rPr>
              <w:t> </w:t>
            </w:r>
          </w:p>
        </w:tc>
        <w:tc>
          <w:tcPr>
            <w:tcW w:w="4560" w:type="dxa"/>
            <w:tcBorders>
              <w:top w:val="single" w:sz="6" w:space="0" w:color="auto"/>
              <w:left w:val="single" w:sz="6" w:space="0" w:color="auto"/>
              <w:bottom w:val="single" w:sz="6" w:space="0" w:color="auto"/>
              <w:right w:val="single" w:sz="6" w:space="0" w:color="auto"/>
            </w:tcBorders>
            <w:vAlign w:val="center"/>
            <w:hideMark/>
          </w:tcPr>
          <w:p w14:paraId="2C2424E6"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Request data may be sensitive; broader access, uploads and integrations increase exposure.</w:t>
            </w:r>
            <w:r w:rsidRPr="002A0F76">
              <w:rPr>
                <w:rFonts w:ascii="Times New Roman" w:hAnsi="Times New Roman" w:cs="Times New Roman"/>
              </w:rPr>
              <w:t> </w:t>
            </w:r>
          </w:p>
        </w:tc>
        <w:tc>
          <w:tcPr>
            <w:tcW w:w="3195" w:type="dxa"/>
            <w:tcBorders>
              <w:top w:val="single" w:sz="6" w:space="0" w:color="auto"/>
              <w:left w:val="single" w:sz="6" w:space="0" w:color="auto"/>
              <w:bottom w:val="single" w:sz="6" w:space="0" w:color="auto"/>
              <w:right w:val="single" w:sz="6" w:space="0" w:color="auto"/>
            </w:tcBorders>
            <w:vAlign w:val="center"/>
            <w:hideMark/>
          </w:tcPr>
          <w:p w14:paraId="01A84315"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Apply RBAC, least privilege, validation, secrets controls and security testing; record residual risks.</w:t>
            </w:r>
            <w:r w:rsidRPr="002A0F76">
              <w:rPr>
                <w:rFonts w:ascii="Times New Roman" w:hAnsi="Times New Roman" w:cs="Times New Roman"/>
              </w:rPr>
              <w:t> </w:t>
            </w:r>
          </w:p>
        </w:tc>
      </w:tr>
      <w:tr w:rsidR="002A0F76" w:rsidRPr="002A0F76" w14:paraId="38A15AA4" w14:textId="77777777">
        <w:tc>
          <w:tcPr>
            <w:tcW w:w="1590" w:type="dxa"/>
            <w:tcBorders>
              <w:top w:val="single" w:sz="6" w:space="0" w:color="auto"/>
              <w:left w:val="single" w:sz="6" w:space="0" w:color="auto"/>
              <w:bottom w:val="single" w:sz="6" w:space="0" w:color="auto"/>
              <w:right w:val="single" w:sz="6" w:space="0" w:color="auto"/>
            </w:tcBorders>
            <w:vAlign w:val="center"/>
            <w:hideMark/>
          </w:tcPr>
          <w:p w14:paraId="4B494840"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Operational burden</w:t>
            </w:r>
            <w:r w:rsidRPr="002A0F76">
              <w:rPr>
                <w:rFonts w:ascii="Times New Roman" w:hAnsi="Times New Roman" w:cs="Times New Roman"/>
              </w:rPr>
              <w:t> </w:t>
            </w:r>
          </w:p>
        </w:tc>
        <w:tc>
          <w:tcPr>
            <w:tcW w:w="4560" w:type="dxa"/>
            <w:tcBorders>
              <w:top w:val="single" w:sz="6" w:space="0" w:color="auto"/>
              <w:left w:val="single" w:sz="6" w:space="0" w:color="auto"/>
              <w:bottom w:val="single" w:sz="6" w:space="0" w:color="auto"/>
              <w:right w:val="single" w:sz="6" w:space="0" w:color="auto"/>
            </w:tcBorders>
            <w:vAlign w:val="center"/>
            <w:hideMark/>
          </w:tcPr>
          <w:p w14:paraId="5565AD35"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Complex configuration or multiple intake paths may undermine the stated need for sustainability.</w:t>
            </w:r>
            <w:r w:rsidRPr="002A0F76">
              <w:rPr>
                <w:rFonts w:ascii="Times New Roman" w:hAnsi="Times New Roman" w:cs="Times New Roman"/>
              </w:rPr>
              <w:t> </w:t>
            </w:r>
          </w:p>
        </w:tc>
        <w:tc>
          <w:tcPr>
            <w:tcW w:w="3195" w:type="dxa"/>
            <w:tcBorders>
              <w:top w:val="single" w:sz="6" w:space="0" w:color="auto"/>
              <w:left w:val="single" w:sz="6" w:space="0" w:color="auto"/>
              <w:bottom w:val="single" w:sz="6" w:space="0" w:color="auto"/>
              <w:right w:val="single" w:sz="6" w:space="0" w:color="auto"/>
            </w:tcBorders>
            <w:vAlign w:val="center"/>
            <w:hideMark/>
          </w:tcPr>
          <w:p w14:paraId="38B2A644"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Review administrative workflow and maintainability with STK-006 before approval.</w:t>
            </w:r>
            <w:r w:rsidRPr="002A0F76">
              <w:rPr>
                <w:rFonts w:ascii="Times New Roman" w:hAnsi="Times New Roman" w:cs="Times New Roman"/>
              </w:rPr>
              <w:t> </w:t>
            </w:r>
          </w:p>
        </w:tc>
      </w:tr>
    </w:tbl>
    <w:p w14:paraId="211F1A8D" w14:textId="77777777" w:rsidR="002A0F76" w:rsidRPr="002A0F76" w:rsidRDefault="002A0F76" w:rsidP="002A0F76">
      <w:pPr>
        <w:rPr>
          <w:rFonts w:ascii="Times New Roman" w:hAnsi="Times New Roman" w:cs="Times New Roman"/>
        </w:rPr>
      </w:pPr>
      <w:r w:rsidRPr="002A0F76">
        <w:rPr>
          <w:rFonts w:ascii="Times New Roman" w:hAnsi="Times New Roman" w:cs="Times New Roman"/>
        </w:rPr>
        <w:t> </w:t>
      </w:r>
    </w:p>
    <w:p w14:paraId="414A45F3" w14:textId="77777777" w:rsidR="002A0F76" w:rsidRPr="002A0F76" w:rsidRDefault="002A0F76" w:rsidP="002A0F76">
      <w:pPr>
        <w:rPr>
          <w:rFonts w:ascii="Times New Roman" w:hAnsi="Times New Roman" w:cs="Times New Roman"/>
          <w:b/>
          <w:bCs/>
        </w:rPr>
      </w:pPr>
      <w:r w:rsidRPr="002A0F76">
        <w:rPr>
          <w:rFonts w:ascii="Times New Roman" w:hAnsi="Times New Roman" w:cs="Times New Roman"/>
          <w:b/>
          <w:bCs/>
          <w:lang w:val="en-US"/>
        </w:rPr>
        <w:t>3.7 Scope Acceptance and Governance</w:t>
      </w:r>
      <w:r w:rsidRPr="002A0F76">
        <w:rPr>
          <w:rFonts w:ascii="Times New Roman" w:hAnsi="Times New Roman" w:cs="Times New Roman"/>
          <w:b/>
          <w:bCs/>
        </w:rPr>
        <w:t> </w:t>
      </w:r>
    </w:p>
    <w:p w14:paraId="596A53FE" w14:textId="77777777" w:rsidR="002A0F76" w:rsidRPr="002A0F76" w:rsidRDefault="002A0F76" w:rsidP="002A0F76">
      <w:pPr>
        <w:rPr>
          <w:rFonts w:ascii="Times New Roman" w:hAnsi="Times New Roman" w:cs="Times New Roman"/>
        </w:rPr>
      </w:pPr>
      <w:r w:rsidRPr="002A0F76">
        <w:rPr>
          <w:rFonts w:ascii="Times New Roman" w:hAnsi="Times New Roman" w:cs="Times New Roman"/>
          <w:lang w:val="en-US"/>
        </w:rPr>
        <w:t>This scope becomes the approved CivicConnect baseline after team review and PED v1.0 baseline sign-off. After approval, additions, removals or material changes must follow the project’s change-management process. Approved changes must be reflected in the scope baseline, requirements, Requirements Traceability Matrix and other affected controlled artefacts (Belgium Campus, 2026a).</w:t>
      </w:r>
      <w:r w:rsidRPr="002A0F76">
        <w:rPr>
          <w:rFonts w:ascii="Times New Roman" w:hAnsi="Times New Roman" w:cs="Times New Roman"/>
        </w:rPr>
        <w:t> </w:t>
      </w:r>
    </w:p>
    <w:p w14:paraId="210F7C94" w14:textId="77777777" w:rsidR="00953CF7" w:rsidRPr="002A0F76" w:rsidRDefault="00953CF7">
      <w:pPr>
        <w:rPr>
          <w:rFonts w:ascii="Times New Roman" w:hAnsi="Times New Roman" w:cs="Times New Roman"/>
        </w:rPr>
      </w:pPr>
    </w:p>
    <w:sectPr w:rsidR="00953CF7" w:rsidRPr="002A0F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12CC"/>
    <w:multiLevelType w:val="multilevel"/>
    <w:tmpl w:val="C21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7D27B7"/>
    <w:multiLevelType w:val="multilevel"/>
    <w:tmpl w:val="A8F2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4C5B89"/>
    <w:multiLevelType w:val="multilevel"/>
    <w:tmpl w:val="9CF0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9F4310"/>
    <w:multiLevelType w:val="multilevel"/>
    <w:tmpl w:val="E256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AF457E"/>
    <w:multiLevelType w:val="multilevel"/>
    <w:tmpl w:val="6C50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9018815">
    <w:abstractNumId w:val="0"/>
  </w:num>
  <w:num w:numId="2" w16cid:durableId="1690132514">
    <w:abstractNumId w:val="1"/>
  </w:num>
  <w:num w:numId="3" w16cid:durableId="48767873">
    <w:abstractNumId w:val="4"/>
  </w:num>
  <w:num w:numId="4" w16cid:durableId="796603122">
    <w:abstractNumId w:val="3"/>
  </w:num>
  <w:num w:numId="5" w16cid:durableId="1396270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CF7"/>
    <w:rsid w:val="00117A36"/>
    <w:rsid w:val="002A0F76"/>
    <w:rsid w:val="00953CF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5F74"/>
  <w15:chartTrackingRefBased/>
  <w15:docId w15:val="{9D74745F-AE68-4F01-B154-082387991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CF7"/>
    <w:rPr>
      <w:rFonts w:eastAsiaTheme="majorEastAsia" w:cstheme="majorBidi"/>
      <w:color w:val="272727" w:themeColor="text1" w:themeTint="D8"/>
    </w:rPr>
  </w:style>
  <w:style w:type="paragraph" w:styleId="Title">
    <w:name w:val="Title"/>
    <w:basedOn w:val="Normal"/>
    <w:next w:val="Normal"/>
    <w:link w:val="TitleChar"/>
    <w:uiPriority w:val="10"/>
    <w:qFormat/>
    <w:rsid w:val="00953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CF7"/>
    <w:pPr>
      <w:spacing w:before="160"/>
      <w:jc w:val="center"/>
    </w:pPr>
    <w:rPr>
      <w:i/>
      <w:iCs/>
      <w:color w:val="404040" w:themeColor="text1" w:themeTint="BF"/>
    </w:rPr>
  </w:style>
  <w:style w:type="character" w:customStyle="1" w:styleId="QuoteChar">
    <w:name w:val="Quote Char"/>
    <w:basedOn w:val="DefaultParagraphFont"/>
    <w:link w:val="Quote"/>
    <w:uiPriority w:val="29"/>
    <w:rsid w:val="00953CF7"/>
    <w:rPr>
      <w:i/>
      <w:iCs/>
      <w:color w:val="404040" w:themeColor="text1" w:themeTint="BF"/>
    </w:rPr>
  </w:style>
  <w:style w:type="paragraph" w:styleId="ListParagraph">
    <w:name w:val="List Paragraph"/>
    <w:basedOn w:val="Normal"/>
    <w:uiPriority w:val="34"/>
    <w:qFormat/>
    <w:rsid w:val="00953CF7"/>
    <w:pPr>
      <w:ind w:left="720"/>
      <w:contextualSpacing/>
    </w:pPr>
  </w:style>
  <w:style w:type="character" w:styleId="IntenseEmphasis">
    <w:name w:val="Intense Emphasis"/>
    <w:basedOn w:val="DefaultParagraphFont"/>
    <w:uiPriority w:val="21"/>
    <w:qFormat/>
    <w:rsid w:val="00953CF7"/>
    <w:rPr>
      <w:i/>
      <w:iCs/>
      <w:color w:val="0F4761" w:themeColor="accent1" w:themeShade="BF"/>
    </w:rPr>
  </w:style>
  <w:style w:type="paragraph" w:styleId="IntenseQuote">
    <w:name w:val="Intense Quote"/>
    <w:basedOn w:val="Normal"/>
    <w:next w:val="Normal"/>
    <w:link w:val="IntenseQuoteChar"/>
    <w:uiPriority w:val="30"/>
    <w:qFormat/>
    <w:rsid w:val="00953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CF7"/>
    <w:rPr>
      <w:i/>
      <w:iCs/>
      <w:color w:val="0F4761" w:themeColor="accent1" w:themeShade="BF"/>
    </w:rPr>
  </w:style>
  <w:style w:type="character" w:styleId="IntenseReference">
    <w:name w:val="Intense Reference"/>
    <w:basedOn w:val="DefaultParagraphFont"/>
    <w:uiPriority w:val="32"/>
    <w:qFormat/>
    <w:rsid w:val="00953C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1148</Words>
  <Characters>6544</Characters>
  <Application>Microsoft Office Word</Application>
  <DocSecurity>0</DocSecurity>
  <Lines>54</Lines>
  <Paragraphs>15</Paragraphs>
  <ScaleCrop>false</ScaleCrop>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Benno Weideman</dc:creator>
  <cp:keywords/>
  <dc:description/>
  <cp:lastModifiedBy>Benno Weideman</cp:lastModifiedBy>
  <cp:revision>2</cp:revision>
  <dcterms:created xsi:type="dcterms:W3CDTF">2026-09-30T21:12:00Z</dcterms:created>
  <dcterms:modified xsi:type="dcterms:W3CDTF">2026-09-30T21:12:00Z</dcterms:modified>
</cp:coreProperties>
</file>