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PHIẾU THẨM ĐỊNH DỰ TOÁN</w:t>
      </w:r>
    </w:p>
    <w:p>
      <w:pPr>
        <w:jc w:val="center"/>
      </w:pPr>
      <w:r>
        <w:rPr>
          <w:i/>
          <w:sz w:val="22"/>
        </w:rPr>
        <w:t>Mã biểu mẫu: SCI-BUDGET-01</w:t>
      </w:r>
    </w:p>
    <w:p/>
    <w:p>
      <w:r>
        <w:rPr>
          <w:rFonts w:ascii="Times New Roman" w:hAnsi="Times New Roman"/>
          <w:b/>
          <w:sz w:val="26"/>
        </w:rPr>
        <w:t>I. THÔNG TIN ĐỀ TÀI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Chủ nhiệm: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Tổng kinh phí đề xuất: ...................................... VNĐ</w:t>
      </w:r>
    </w:p>
    <w:p/>
    <w:p>
      <w:r>
        <w:rPr>
          <w:rFonts w:ascii="Times New Roman" w:hAnsi="Times New Roman"/>
          <w:b/>
          <w:sz w:val="26"/>
        </w:rPr>
        <w:t>II. ĐÁNH GIÁ THẨM ĐỊNH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Tiêu chí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Trọng số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Điểm</w:t>
              <w:br/>
              <w:t>(0-100)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Điểm × Trọng số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r>
              <w:t>Tính hợp lý của dự toán</w:t>
              <w:br/>
              <w:t>- Tổng kinh phí phù hợp quy mô</w:t>
              <w:br/>
              <w:t>- Phân bổ giữa các khoản mục hợp lý</w:t>
              <w:br/>
              <w:t>- Không trùng lặp thiết bị hiện có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r>
              <w:t>Tính tuân thủ quy định</w:t>
              <w:br/>
              <w:t>- Tuân thủ Thông tư 55/2015/TT-BTC</w:t>
              <w:br/>
              <w:t>- Tuân thủ Quy chế TC của ĐHQG</w:t>
              <w:br/>
              <w:t>- Phí quản lý đúng quy định (3-5%)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r>
              <w:t>Tính khả thi</w:t>
              <w:br/>
              <w:t>- Nguồn kinh phí đảm bảo</w:t>
              <w:br/>
              <w:t>- Khả năng giải ngân trong thời gian dự kiến</w:t>
              <w:br/>
              <w:t>- Kế hoạch mua sắm rõ ràng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r>
              <w:t>Chứng từ &amp; Báo giá</w:t>
              <w:br/>
              <w:t>- Báo giá từ ≥2 nhà cung cấp (&gt;50tr)</w:t>
              <w:br/>
              <w:t>- Báo giá hợp lý so với thị trường</w:t>
              <w:br/>
              <w:t>- Chứng từ hợp lệ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TỔNG ĐIỂM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III. NHẬN XÉT VÀ KIẾN NGHỊ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IV. DỰ TOÁN ĐỀ NGHỊ PHÊ DUYỆT</w:t>
      </w:r>
    </w:p>
    <w:p>
      <w:pPr>
        <w:ind w:left="0"/>
      </w:pPr>
      <w:r>
        <w:rPr>
          <w:rFonts w:ascii="Times New Roman" w:hAnsi="Times New Roman"/>
          <w:sz w:val="26"/>
        </w:rPr>
        <w:t>Tổng kinh phí đề nghị: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Lý do điều chỉnh (nếu có): 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V. KẾT LUẬN THẨM ĐỊNH</w:t>
      </w:r>
    </w:p>
    <w:p>
      <w:pPr>
        <w:ind w:left="0"/>
      </w:pPr>
      <w:r>
        <w:rPr>
          <w:rFonts w:ascii="Times New Roman" w:hAnsi="Times New Roman"/>
          <w:sz w:val="26"/>
        </w:rPr>
        <w:t>☐ PHÊ DUYỆT - Dự toán hợp lý</w:t>
      </w:r>
    </w:p>
    <w:p>
      <w:pPr>
        <w:ind w:left="0"/>
      </w:pPr>
      <w:r>
        <w:rPr>
          <w:rFonts w:ascii="Times New Roman" w:hAnsi="Times New Roman"/>
          <w:sz w:val="26"/>
        </w:rPr>
        <w:t>☐ PHÊ DUYỆT CÓ ĐIỀU CHỈNH - Cần chỉnh sửa các khoản mục sau:</w:t>
      </w:r>
    </w:p>
    <w:p>
      <w:pPr>
        <w:ind w:left="0"/>
      </w:pPr>
      <w:r>
        <w:rPr>
          <w:rFonts w:ascii="Times New Roman" w:hAnsi="Times New Roman"/>
          <w:sz w:val="26"/>
        </w:rPr>
        <w:t>☐ KHÔNG PHÊ DUYỆT - Dự toán không hợp lý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Thành viên Tổ TD</w:t>
              <w:br/>
              <w:t>(Ký, ghi rõ họ tên)</w:t>
              <w:br/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TP.HCM, ngày ... tháng ... năm 202...</w:t>
              <w:br/>
              <w:t>TỔ TRƯỞNG</w:t>
              <w:br/>
              <w:t>(Ký, đóng dấu,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