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600" w:rsidRPr="00EA1600" w:rsidRDefault="00EA1600" w:rsidP="00EA16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1600">
        <w:rPr>
          <w:rFonts w:ascii="Times New Roman" w:hAnsi="Times New Roman" w:cs="Times New Roman"/>
          <w:b/>
          <w:sz w:val="28"/>
          <w:szCs w:val="28"/>
        </w:rPr>
        <w:t xml:space="preserve">Тема 8. </w:t>
      </w:r>
      <w:bookmarkStart w:id="0" w:name="_GoBack"/>
      <w:proofErr w:type="gramStart"/>
      <w:r w:rsidRPr="00EA1600">
        <w:rPr>
          <w:rFonts w:ascii="Times New Roman" w:hAnsi="Times New Roman" w:cs="Times New Roman"/>
          <w:b/>
          <w:sz w:val="28"/>
          <w:szCs w:val="28"/>
        </w:rPr>
        <w:t>Объект  конфигурации</w:t>
      </w:r>
      <w:proofErr w:type="gramEnd"/>
      <w:r w:rsidRPr="00EA1600">
        <w:rPr>
          <w:rFonts w:ascii="Times New Roman" w:hAnsi="Times New Roman" w:cs="Times New Roman"/>
          <w:b/>
          <w:sz w:val="28"/>
          <w:szCs w:val="28"/>
        </w:rPr>
        <w:t xml:space="preserve"> П</w:t>
      </w:r>
      <w:r w:rsidRPr="00EA1600">
        <w:rPr>
          <w:rFonts w:ascii="Times New Roman" w:hAnsi="Times New Roman" w:cs="Times New Roman"/>
          <w:b/>
          <w:bCs/>
          <w:sz w:val="28"/>
          <w:szCs w:val="28"/>
        </w:rPr>
        <w:t>еречисление. П</w:t>
      </w:r>
      <w:r w:rsidRPr="00EA1600">
        <w:rPr>
          <w:rFonts w:ascii="Times New Roman" w:hAnsi="Times New Roman" w:cs="Times New Roman"/>
          <w:b/>
          <w:sz w:val="28"/>
          <w:szCs w:val="28"/>
        </w:rPr>
        <w:t xml:space="preserve">роведение документа по нескольким регистрам. </w:t>
      </w:r>
      <w:r w:rsidRPr="00EA1600">
        <w:rPr>
          <w:rFonts w:ascii="Times New Roman" w:hAnsi="Times New Roman" w:cs="Times New Roman"/>
          <w:b/>
          <w:bCs/>
          <w:iCs/>
          <w:sz w:val="28"/>
          <w:szCs w:val="28"/>
        </w:rPr>
        <w:t>Оборотные регистры накопления. Р</w:t>
      </w:r>
      <w:r w:rsidRPr="00EA1600">
        <w:rPr>
          <w:rFonts w:ascii="Times New Roman" w:hAnsi="Times New Roman" w:cs="Times New Roman"/>
          <w:b/>
          <w:sz w:val="28"/>
          <w:szCs w:val="28"/>
        </w:rPr>
        <w:t>егистром накопления остатков.</w:t>
      </w:r>
      <w:bookmarkEnd w:id="0"/>
    </w:p>
    <w:p w:rsidR="00EA1600" w:rsidRPr="00EA1600" w:rsidRDefault="00EA1600" w:rsidP="00EA16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1600">
        <w:rPr>
          <w:rStyle w:val="a4"/>
          <w:sz w:val="28"/>
          <w:szCs w:val="28"/>
        </w:rPr>
        <w:t>Перечисления</w:t>
      </w:r>
      <w:r w:rsidRPr="00EA1600">
        <w:rPr>
          <w:rStyle w:val="apple-converted-space"/>
          <w:sz w:val="28"/>
          <w:szCs w:val="28"/>
        </w:rPr>
        <w:t> </w:t>
      </w:r>
      <w:r w:rsidRPr="00EA1600">
        <w:rPr>
          <w:sz w:val="28"/>
          <w:szCs w:val="28"/>
        </w:rPr>
        <w:t>- это</w:t>
      </w:r>
      <w:r w:rsidRPr="00EA1600">
        <w:rPr>
          <w:rStyle w:val="apple-converted-space"/>
          <w:sz w:val="28"/>
          <w:szCs w:val="28"/>
        </w:rPr>
        <w:t> </w:t>
      </w:r>
      <w:hyperlink r:id="rId4" w:history="1">
        <w:r w:rsidRPr="00EA1600">
          <w:rPr>
            <w:rStyle w:val="a5"/>
            <w:rFonts w:eastAsia="Arial Unicode MS"/>
            <w:b/>
            <w:bCs/>
            <w:color w:val="auto"/>
            <w:sz w:val="28"/>
            <w:szCs w:val="28"/>
          </w:rPr>
          <w:t>прикладные объекты конфигурации</w:t>
        </w:r>
      </w:hyperlink>
      <w:r w:rsidRPr="00EA1600">
        <w:rPr>
          <w:sz w:val="28"/>
          <w:szCs w:val="28"/>
        </w:rPr>
        <w:t>. Они позволяют хранить в информационной базе наборы значений, которые не изменяются в процессе работы прикладного решения.</w:t>
      </w:r>
    </w:p>
    <w:p w:rsidR="00EA1600" w:rsidRPr="00EA1600" w:rsidRDefault="00EA1600" w:rsidP="00EA160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1600">
        <w:rPr>
          <w:sz w:val="28"/>
          <w:szCs w:val="28"/>
        </w:rPr>
        <w:t>Например, это может быть перечисление возможных ставок НДС (</w:t>
      </w:r>
      <w:proofErr w:type="spellStart"/>
      <w:r w:rsidRPr="00EA1600">
        <w:rPr>
          <w:sz w:val="28"/>
          <w:szCs w:val="28"/>
        </w:rPr>
        <w:t>БезНДС</w:t>
      </w:r>
      <w:proofErr w:type="spellEnd"/>
      <w:r w:rsidRPr="00EA1600">
        <w:rPr>
          <w:sz w:val="28"/>
          <w:szCs w:val="28"/>
        </w:rPr>
        <w:t>, НДС18 и т.д.), перечисление состояния заказов (Запланировано, В Работе, Выполнено) и пр.:</w:t>
      </w:r>
    </w:p>
    <w:p w:rsidR="00EA1600" w:rsidRPr="00EA1600" w:rsidRDefault="00EA1600" w:rsidP="00EA1600">
      <w:pPr>
        <w:spacing w:after="0" w:line="360" w:lineRule="auto"/>
        <w:ind w:firstLine="709"/>
        <w:jc w:val="both"/>
        <w:rPr>
          <w:rStyle w:val="FontStyle18"/>
          <w:b/>
          <w:sz w:val="28"/>
          <w:szCs w:val="28"/>
        </w:rPr>
      </w:pPr>
      <w:r w:rsidRPr="00EA1600">
        <w:rPr>
          <w:rFonts w:ascii="Times New Roman" w:hAnsi="Times New Roman" w:cs="Times New Roman"/>
          <w:sz w:val="28"/>
          <w:szCs w:val="28"/>
          <w:shd w:val="clear" w:color="auto" w:fill="FFFFFF"/>
        </w:rPr>
        <w:t>В прикладном решении может быть создано произвольное количество перечислений:</w:t>
      </w:r>
    </w:p>
    <w:p w:rsidR="00EA1600" w:rsidRPr="00EA1600" w:rsidRDefault="00EA1600" w:rsidP="00EA1600">
      <w:pPr>
        <w:pStyle w:val="Style105"/>
        <w:widowControl/>
        <w:spacing w:line="360" w:lineRule="auto"/>
        <w:ind w:firstLine="709"/>
        <w:rPr>
          <w:rStyle w:val="FontStyle366"/>
          <w:rFonts w:ascii="Times New Roman" w:hAnsi="Times New Roman" w:cs="Times New Roman"/>
          <w:sz w:val="28"/>
          <w:szCs w:val="28"/>
        </w:rPr>
      </w:pPr>
      <w:r w:rsidRPr="00EA1600">
        <w:rPr>
          <w:rStyle w:val="FontStyle375"/>
          <w:rFonts w:ascii="Times New Roman" w:hAnsi="Times New Roman" w:cs="Times New Roman"/>
          <w:sz w:val="28"/>
          <w:szCs w:val="28"/>
        </w:rPr>
        <w:t xml:space="preserve">Регистры накопления могут быть </w:t>
      </w:r>
      <w:r w:rsidRPr="00EA1600">
        <w:rPr>
          <w:rStyle w:val="FontStyle366"/>
          <w:rFonts w:ascii="Times New Roman" w:hAnsi="Times New Roman" w:cs="Times New Roman"/>
          <w:sz w:val="28"/>
          <w:szCs w:val="28"/>
        </w:rPr>
        <w:t xml:space="preserve">регистрами остатков </w:t>
      </w:r>
      <w:r w:rsidRPr="00EA1600">
        <w:rPr>
          <w:rStyle w:val="FontStyle375"/>
          <w:rFonts w:ascii="Times New Roman" w:hAnsi="Times New Roman" w:cs="Times New Roman"/>
          <w:sz w:val="28"/>
          <w:szCs w:val="28"/>
        </w:rPr>
        <w:t xml:space="preserve">и </w:t>
      </w:r>
      <w:r w:rsidRPr="00EA1600">
        <w:rPr>
          <w:rStyle w:val="FontStyle366"/>
          <w:rFonts w:ascii="Times New Roman" w:hAnsi="Times New Roman" w:cs="Times New Roman"/>
          <w:sz w:val="28"/>
          <w:szCs w:val="28"/>
        </w:rPr>
        <w:t xml:space="preserve">регистрами оборотов.  </w:t>
      </w:r>
    </w:p>
    <w:p w:rsidR="00EA1600" w:rsidRPr="00EA1600" w:rsidRDefault="00EA1600" w:rsidP="00EA1600">
      <w:pPr>
        <w:pStyle w:val="Style105"/>
        <w:widowControl/>
        <w:spacing w:line="360" w:lineRule="auto"/>
        <w:ind w:firstLine="709"/>
        <w:rPr>
          <w:rStyle w:val="FontStyle375"/>
          <w:rFonts w:ascii="Times New Roman" w:hAnsi="Times New Roman" w:cs="Times New Roman"/>
          <w:sz w:val="28"/>
          <w:szCs w:val="28"/>
        </w:rPr>
      </w:pPr>
      <w:r w:rsidRPr="00EA1600">
        <w:rPr>
          <w:rStyle w:val="FontStyle375"/>
          <w:rFonts w:ascii="Times New Roman" w:hAnsi="Times New Roman" w:cs="Times New Roman"/>
          <w:sz w:val="28"/>
          <w:szCs w:val="28"/>
        </w:rPr>
        <w:t xml:space="preserve">При </w:t>
      </w:r>
      <w:proofErr w:type="gramStart"/>
      <w:r w:rsidRPr="00EA1600">
        <w:rPr>
          <w:rStyle w:val="FontStyle375"/>
          <w:rFonts w:ascii="Times New Roman" w:hAnsi="Times New Roman" w:cs="Times New Roman"/>
          <w:sz w:val="28"/>
          <w:szCs w:val="28"/>
        </w:rPr>
        <w:t>создании  отчета</w:t>
      </w:r>
      <w:proofErr w:type="gramEnd"/>
      <w:r w:rsidRPr="00EA1600">
        <w:rPr>
          <w:rStyle w:val="FontStyle375"/>
          <w:rFonts w:ascii="Times New Roman" w:hAnsi="Times New Roman" w:cs="Times New Roman"/>
          <w:sz w:val="28"/>
          <w:szCs w:val="28"/>
        </w:rPr>
        <w:t xml:space="preserve"> в конструкторе запроса  для  таких регистров система создает три виртуальные таблицы: таблица остатков, оборотов и совокупная таблица остатков и оборотов.</w:t>
      </w:r>
    </w:p>
    <w:p w:rsidR="00EA1600" w:rsidRPr="00EA1600" w:rsidRDefault="00EA1600" w:rsidP="00EA1600">
      <w:pPr>
        <w:spacing w:after="0" w:line="360" w:lineRule="auto"/>
        <w:ind w:firstLine="709"/>
        <w:jc w:val="both"/>
        <w:rPr>
          <w:rStyle w:val="FontStyle375"/>
          <w:rFonts w:ascii="Times New Roman" w:hAnsi="Times New Roman" w:cs="Times New Roman"/>
          <w:sz w:val="28"/>
          <w:szCs w:val="28"/>
        </w:rPr>
      </w:pPr>
      <w:r w:rsidRPr="00EA1600">
        <w:rPr>
          <w:rStyle w:val="FontStyle375"/>
          <w:rFonts w:ascii="Times New Roman" w:hAnsi="Times New Roman" w:cs="Times New Roman"/>
          <w:sz w:val="28"/>
          <w:szCs w:val="28"/>
        </w:rPr>
        <w:t xml:space="preserve">Оборотный регистр накопления очень похож на регистр остатков, но для него понятие «остаток» не имеет смысла, оборотный регистр накапливает только обороты, остатки ему безразличны.  Поэтому единственной виртуальной таблицей, которую будет </w:t>
      </w:r>
      <w:proofErr w:type="gramStart"/>
      <w:r w:rsidRPr="00EA1600">
        <w:rPr>
          <w:rStyle w:val="FontStyle375"/>
          <w:rFonts w:ascii="Times New Roman" w:hAnsi="Times New Roman" w:cs="Times New Roman"/>
          <w:sz w:val="28"/>
          <w:szCs w:val="28"/>
        </w:rPr>
        <w:t>создавать  система</w:t>
      </w:r>
      <w:proofErr w:type="gramEnd"/>
      <w:r w:rsidRPr="00EA1600">
        <w:rPr>
          <w:rStyle w:val="FontStyle375"/>
          <w:rFonts w:ascii="Times New Roman" w:hAnsi="Times New Roman" w:cs="Times New Roman"/>
          <w:sz w:val="28"/>
          <w:szCs w:val="28"/>
        </w:rPr>
        <w:t xml:space="preserve"> для такого регистра, будет таблица оборотов. В </w:t>
      </w:r>
      <w:proofErr w:type="gramStart"/>
      <w:r w:rsidRPr="00EA1600">
        <w:rPr>
          <w:rStyle w:val="FontStyle375"/>
          <w:rFonts w:ascii="Times New Roman" w:hAnsi="Times New Roman" w:cs="Times New Roman"/>
          <w:sz w:val="28"/>
          <w:szCs w:val="28"/>
        </w:rPr>
        <w:t>остальном  оборотный</w:t>
      </w:r>
      <w:proofErr w:type="gramEnd"/>
      <w:r w:rsidRPr="00EA1600">
        <w:rPr>
          <w:rStyle w:val="FontStyle375"/>
          <w:rFonts w:ascii="Times New Roman" w:hAnsi="Times New Roman" w:cs="Times New Roman"/>
          <w:sz w:val="28"/>
          <w:szCs w:val="28"/>
        </w:rPr>
        <w:t xml:space="preserve">  регистр ничем не отличается от регистра остатков. </w:t>
      </w:r>
      <w:r w:rsidRPr="00EA1600">
        <w:rPr>
          <w:rStyle w:val="FontStyle377"/>
          <w:rFonts w:ascii="Times New Roman" w:hAnsi="Times New Roman" w:cs="Times New Roman"/>
          <w:sz w:val="28"/>
          <w:szCs w:val="28"/>
        </w:rPr>
        <w:t xml:space="preserve"> </w:t>
      </w:r>
      <w:r w:rsidRPr="00EA1600">
        <w:rPr>
          <w:rStyle w:val="FontStyle375"/>
          <w:rFonts w:ascii="Times New Roman" w:hAnsi="Times New Roman" w:cs="Times New Roman"/>
          <w:sz w:val="28"/>
          <w:szCs w:val="28"/>
        </w:rPr>
        <w:t xml:space="preserve">При создании оборотного регистра накопления нет особой </w:t>
      </w:r>
      <w:proofErr w:type="gramStart"/>
      <w:r w:rsidRPr="00EA1600">
        <w:rPr>
          <w:rStyle w:val="FontStyle375"/>
          <w:rFonts w:ascii="Times New Roman" w:hAnsi="Times New Roman" w:cs="Times New Roman"/>
          <w:sz w:val="28"/>
          <w:szCs w:val="28"/>
        </w:rPr>
        <w:t>сложности  в</w:t>
      </w:r>
      <w:proofErr w:type="gramEnd"/>
      <w:r w:rsidRPr="00EA1600">
        <w:rPr>
          <w:rStyle w:val="FontStyle375"/>
          <w:rFonts w:ascii="Times New Roman" w:hAnsi="Times New Roman" w:cs="Times New Roman"/>
          <w:sz w:val="28"/>
          <w:szCs w:val="28"/>
        </w:rPr>
        <w:t xml:space="preserve"> определении того, какие именно данные должны являться  измерениями регистра - мы можем назначить в качестве его измерений  любые нужные нам данные.</w:t>
      </w:r>
    </w:p>
    <w:p w:rsidR="00EA1600" w:rsidRPr="00EA1600" w:rsidRDefault="00EA1600" w:rsidP="00EA1600">
      <w:pPr>
        <w:pStyle w:val="Style16"/>
        <w:widowControl/>
        <w:spacing w:line="360" w:lineRule="auto"/>
        <w:ind w:firstLine="709"/>
        <w:rPr>
          <w:rStyle w:val="FontStyle375"/>
          <w:rFonts w:ascii="Times New Roman" w:hAnsi="Times New Roman" w:cs="Times New Roman"/>
          <w:sz w:val="28"/>
          <w:szCs w:val="28"/>
        </w:rPr>
      </w:pPr>
      <w:r w:rsidRPr="00EA1600">
        <w:rPr>
          <w:rStyle w:val="FontStyle375"/>
          <w:rFonts w:ascii="Times New Roman" w:hAnsi="Times New Roman" w:cs="Times New Roman"/>
          <w:sz w:val="28"/>
          <w:szCs w:val="28"/>
        </w:rPr>
        <w:t xml:space="preserve">Выбор </w:t>
      </w:r>
      <w:proofErr w:type="gramStart"/>
      <w:r w:rsidRPr="00EA1600">
        <w:rPr>
          <w:rStyle w:val="FontStyle375"/>
          <w:rFonts w:ascii="Times New Roman" w:hAnsi="Times New Roman" w:cs="Times New Roman"/>
          <w:sz w:val="28"/>
          <w:szCs w:val="28"/>
        </w:rPr>
        <w:t>измерений  для</w:t>
      </w:r>
      <w:proofErr w:type="gramEnd"/>
      <w:r w:rsidRPr="00EA1600">
        <w:rPr>
          <w:rStyle w:val="FontStyle375"/>
          <w:rFonts w:ascii="Times New Roman" w:hAnsi="Times New Roman" w:cs="Times New Roman"/>
          <w:sz w:val="28"/>
          <w:szCs w:val="28"/>
        </w:rPr>
        <w:t xml:space="preserve"> регистра накопления должен выполняться  исходя из того, что движения регистра могут быть осуществляться в две стороны: приход и расход. Таким образом, в качестве </w:t>
      </w:r>
      <w:proofErr w:type="gramStart"/>
      <w:r w:rsidRPr="00EA1600">
        <w:rPr>
          <w:rStyle w:val="FontStyle375"/>
          <w:rFonts w:ascii="Times New Roman" w:hAnsi="Times New Roman" w:cs="Times New Roman"/>
          <w:sz w:val="28"/>
          <w:szCs w:val="28"/>
        </w:rPr>
        <w:t>измерений  нужно</w:t>
      </w:r>
      <w:proofErr w:type="gramEnd"/>
      <w:r w:rsidRPr="00EA1600">
        <w:rPr>
          <w:rStyle w:val="FontStyle375"/>
          <w:rFonts w:ascii="Times New Roman" w:hAnsi="Times New Roman" w:cs="Times New Roman"/>
          <w:sz w:val="28"/>
          <w:szCs w:val="28"/>
        </w:rPr>
        <w:t xml:space="preserve"> выбирать те данные, по которым движения точно осуществляться как в одну, так и в другую сторону.</w:t>
      </w:r>
    </w:p>
    <w:p w:rsidR="00EA1600" w:rsidRPr="00EA1600" w:rsidRDefault="00EA1600" w:rsidP="00EA1600">
      <w:pPr>
        <w:spacing w:after="0" w:line="360" w:lineRule="auto"/>
        <w:ind w:firstLine="709"/>
        <w:jc w:val="both"/>
        <w:rPr>
          <w:rStyle w:val="FontStyle375"/>
          <w:rFonts w:ascii="Times New Roman" w:hAnsi="Times New Roman" w:cs="Times New Roman"/>
          <w:sz w:val="28"/>
          <w:szCs w:val="28"/>
        </w:rPr>
      </w:pPr>
      <w:r w:rsidRPr="00EA1600">
        <w:rPr>
          <w:rStyle w:val="FontStyle375"/>
          <w:rFonts w:ascii="Times New Roman" w:hAnsi="Times New Roman" w:cs="Times New Roman"/>
          <w:sz w:val="28"/>
          <w:szCs w:val="28"/>
        </w:rPr>
        <w:lastRenderedPageBreak/>
        <w:t>Например, если ведется учет материалов в разрезах номенклатуры и склада, очевидно, что и номенклатура, и склад могут быть измерениями. поскольку как приход, так и расход материалов всегда будут осуществляться с указанием конкретной номенклатуры и конкретного склада. Если же в этой ситуации появляется желание отразить учет материалов еще и в разрезе поставщика, то здесь уже нужно исходить из конкретной схемы учета, принятой на предприятии.</w:t>
      </w:r>
    </w:p>
    <w:p w:rsidR="00EA1600" w:rsidRPr="00EA1600" w:rsidRDefault="00EA1600" w:rsidP="00EA1600">
      <w:pPr>
        <w:pStyle w:val="Style12"/>
        <w:widowControl/>
        <w:spacing w:line="360" w:lineRule="auto"/>
        <w:ind w:firstLine="709"/>
        <w:jc w:val="both"/>
        <w:rPr>
          <w:rStyle w:val="FontStyle375"/>
          <w:rFonts w:ascii="Times New Roman" w:hAnsi="Times New Roman" w:cs="Times New Roman"/>
          <w:sz w:val="28"/>
          <w:szCs w:val="28"/>
        </w:rPr>
      </w:pPr>
      <w:r w:rsidRPr="00EA1600">
        <w:rPr>
          <w:rStyle w:val="FontStyle375"/>
          <w:rFonts w:ascii="Times New Roman" w:hAnsi="Times New Roman" w:cs="Times New Roman"/>
          <w:sz w:val="28"/>
          <w:szCs w:val="28"/>
        </w:rPr>
        <w:t>При поступлении материалов поставщик будет указан, а вот при расходовании материалов, это совершенно лишняя информация. Значит, поставщика следует добавить не как измерение, а как реквизит регистра накопления.</w:t>
      </w:r>
    </w:p>
    <w:p w:rsidR="00EA1600" w:rsidRPr="00EA1600" w:rsidRDefault="00EA1600" w:rsidP="00EA1600">
      <w:pPr>
        <w:pStyle w:val="Style12"/>
        <w:widowControl/>
        <w:spacing w:line="360" w:lineRule="auto"/>
        <w:ind w:firstLine="709"/>
        <w:jc w:val="both"/>
        <w:rPr>
          <w:rStyle w:val="FontStyle375"/>
          <w:rFonts w:ascii="Times New Roman" w:hAnsi="Times New Roman" w:cs="Times New Roman"/>
          <w:sz w:val="28"/>
          <w:szCs w:val="28"/>
        </w:rPr>
      </w:pPr>
      <w:r w:rsidRPr="00EA1600">
        <w:rPr>
          <w:rStyle w:val="FontStyle375"/>
          <w:rFonts w:ascii="Times New Roman" w:hAnsi="Times New Roman" w:cs="Times New Roman"/>
          <w:sz w:val="28"/>
          <w:szCs w:val="28"/>
        </w:rPr>
        <w:t>Если же при расходе материалов поставщик будет указываться наверняка, имеет смысл добавить поставщика в измерения регистра.</w:t>
      </w:r>
    </w:p>
    <w:p w:rsidR="00EA1600" w:rsidRPr="00EA1600" w:rsidRDefault="00EA1600" w:rsidP="00EA1600">
      <w:pPr>
        <w:pStyle w:val="Style12"/>
        <w:widowControl/>
        <w:spacing w:line="360" w:lineRule="auto"/>
        <w:ind w:firstLine="709"/>
        <w:jc w:val="both"/>
        <w:rPr>
          <w:rStyle w:val="FontStyle375"/>
          <w:rFonts w:ascii="Times New Roman" w:hAnsi="Times New Roman" w:cs="Times New Roman"/>
          <w:sz w:val="28"/>
          <w:szCs w:val="28"/>
        </w:rPr>
      </w:pPr>
      <w:r w:rsidRPr="00EA1600">
        <w:rPr>
          <w:rStyle w:val="FontStyle375"/>
          <w:rFonts w:ascii="Times New Roman" w:hAnsi="Times New Roman" w:cs="Times New Roman"/>
          <w:sz w:val="28"/>
          <w:szCs w:val="28"/>
        </w:rPr>
        <w:t>Иными словами, по каждому из измерений регистра накопления остатков ресурсы обязательно должны изменяться в обе стороны: приход и расход. Не должно существовать таких измерений, по которым осуществляется только приход или только расход. Нарушение этого принципа построения регистров накопления будет вести к непроизводительному использованию ресурсов системы и как следствие к замедлению работы и падению производительности.</w:t>
      </w:r>
    </w:p>
    <w:p w:rsidR="00EA1600" w:rsidRPr="00EA1600" w:rsidRDefault="00EA1600" w:rsidP="00EA1600">
      <w:pPr>
        <w:pStyle w:val="Style12"/>
        <w:widowControl/>
        <w:spacing w:line="360" w:lineRule="auto"/>
        <w:ind w:firstLine="709"/>
        <w:jc w:val="both"/>
        <w:rPr>
          <w:rStyle w:val="FontStyle375"/>
          <w:rFonts w:ascii="Times New Roman" w:hAnsi="Times New Roman" w:cs="Times New Roman"/>
          <w:sz w:val="28"/>
          <w:szCs w:val="28"/>
        </w:rPr>
      </w:pPr>
      <w:r w:rsidRPr="00EA1600">
        <w:rPr>
          <w:rStyle w:val="FontStyle375"/>
          <w:rFonts w:ascii="Times New Roman" w:hAnsi="Times New Roman" w:cs="Times New Roman"/>
          <w:sz w:val="28"/>
          <w:szCs w:val="28"/>
        </w:rPr>
        <w:t>Для реквизитов же регистра этот принцип не важен. По реквизитам регистра ресурсы могут только приходоваться или только расходоваться.</w:t>
      </w:r>
    </w:p>
    <w:p w:rsidR="00EA1600" w:rsidRPr="00EA1600" w:rsidRDefault="00EA1600" w:rsidP="00EA1600">
      <w:pPr>
        <w:spacing w:after="0" w:line="360" w:lineRule="auto"/>
        <w:ind w:firstLine="709"/>
        <w:jc w:val="both"/>
        <w:rPr>
          <w:rStyle w:val="FontStyle18"/>
          <w:b/>
          <w:sz w:val="28"/>
          <w:szCs w:val="28"/>
        </w:rPr>
      </w:pPr>
    </w:p>
    <w:p w:rsidR="00EA1600" w:rsidRPr="00EA1600" w:rsidRDefault="00EA1600" w:rsidP="00EA1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A1600" w:rsidRPr="00EA1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600"/>
    <w:rsid w:val="00002C5C"/>
    <w:rsid w:val="0001550D"/>
    <w:rsid w:val="000372B6"/>
    <w:rsid w:val="00065A29"/>
    <w:rsid w:val="00071884"/>
    <w:rsid w:val="00080BD2"/>
    <w:rsid w:val="000903BF"/>
    <w:rsid w:val="00091491"/>
    <w:rsid w:val="00095FBA"/>
    <w:rsid w:val="000A465E"/>
    <w:rsid w:val="000C0616"/>
    <w:rsid w:val="000E38D6"/>
    <w:rsid w:val="000F0DD7"/>
    <w:rsid w:val="000F3AAD"/>
    <w:rsid w:val="000F5626"/>
    <w:rsid w:val="00105E01"/>
    <w:rsid w:val="00115B30"/>
    <w:rsid w:val="00142CD9"/>
    <w:rsid w:val="001927E8"/>
    <w:rsid w:val="001F5BF7"/>
    <w:rsid w:val="0023398A"/>
    <w:rsid w:val="00233AF5"/>
    <w:rsid w:val="00244B98"/>
    <w:rsid w:val="00255E9B"/>
    <w:rsid w:val="00263E53"/>
    <w:rsid w:val="0026612B"/>
    <w:rsid w:val="002724F3"/>
    <w:rsid w:val="00286AF1"/>
    <w:rsid w:val="002B0EB8"/>
    <w:rsid w:val="002B32CA"/>
    <w:rsid w:val="0032706A"/>
    <w:rsid w:val="003406D5"/>
    <w:rsid w:val="00340A78"/>
    <w:rsid w:val="00344AB8"/>
    <w:rsid w:val="00374D69"/>
    <w:rsid w:val="0038631E"/>
    <w:rsid w:val="0039262E"/>
    <w:rsid w:val="003A4EF0"/>
    <w:rsid w:val="003B3196"/>
    <w:rsid w:val="003D1DF6"/>
    <w:rsid w:val="00404961"/>
    <w:rsid w:val="00407B0F"/>
    <w:rsid w:val="004406D7"/>
    <w:rsid w:val="00443341"/>
    <w:rsid w:val="0045291C"/>
    <w:rsid w:val="004540A8"/>
    <w:rsid w:val="00454B65"/>
    <w:rsid w:val="0046646C"/>
    <w:rsid w:val="00472F6D"/>
    <w:rsid w:val="00487F36"/>
    <w:rsid w:val="004A0D3B"/>
    <w:rsid w:val="004A4970"/>
    <w:rsid w:val="004B1AA4"/>
    <w:rsid w:val="004C303E"/>
    <w:rsid w:val="004C5570"/>
    <w:rsid w:val="004D232B"/>
    <w:rsid w:val="004D4528"/>
    <w:rsid w:val="004E516D"/>
    <w:rsid w:val="004F235B"/>
    <w:rsid w:val="004F6DF9"/>
    <w:rsid w:val="00505285"/>
    <w:rsid w:val="005107E1"/>
    <w:rsid w:val="005162E6"/>
    <w:rsid w:val="00530644"/>
    <w:rsid w:val="00546429"/>
    <w:rsid w:val="00572DEE"/>
    <w:rsid w:val="0058318D"/>
    <w:rsid w:val="00592874"/>
    <w:rsid w:val="00594D34"/>
    <w:rsid w:val="005A0BE7"/>
    <w:rsid w:val="005B4572"/>
    <w:rsid w:val="005D39FD"/>
    <w:rsid w:val="005E7066"/>
    <w:rsid w:val="005F79E7"/>
    <w:rsid w:val="006119A4"/>
    <w:rsid w:val="0063303B"/>
    <w:rsid w:val="00652CC6"/>
    <w:rsid w:val="00652E08"/>
    <w:rsid w:val="00653293"/>
    <w:rsid w:val="00665932"/>
    <w:rsid w:val="00692445"/>
    <w:rsid w:val="0069630D"/>
    <w:rsid w:val="006B1CBC"/>
    <w:rsid w:val="006C36EF"/>
    <w:rsid w:val="006D422F"/>
    <w:rsid w:val="006F6644"/>
    <w:rsid w:val="007409F2"/>
    <w:rsid w:val="00773FE5"/>
    <w:rsid w:val="007A13C1"/>
    <w:rsid w:val="007E042C"/>
    <w:rsid w:val="00812EEE"/>
    <w:rsid w:val="00825E7F"/>
    <w:rsid w:val="00830CCD"/>
    <w:rsid w:val="00832197"/>
    <w:rsid w:val="008338B1"/>
    <w:rsid w:val="00850B90"/>
    <w:rsid w:val="00850F1B"/>
    <w:rsid w:val="008550AE"/>
    <w:rsid w:val="00892928"/>
    <w:rsid w:val="008C37DC"/>
    <w:rsid w:val="008D41E9"/>
    <w:rsid w:val="008D54CD"/>
    <w:rsid w:val="008E3471"/>
    <w:rsid w:val="00904A47"/>
    <w:rsid w:val="00910DE6"/>
    <w:rsid w:val="00914A47"/>
    <w:rsid w:val="00916997"/>
    <w:rsid w:val="00933DB8"/>
    <w:rsid w:val="00947CEB"/>
    <w:rsid w:val="009538DC"/>
    <w:rsid w:val="009A037F"/>
    <w:rsid w:val="009C6607"/>
    <w:rsid w:val="009E406A"/>
    <w:rsid w:val="009F6179"/>
    <w:rsid w:val="00A21593"/>
    <w:rsid w:val="00A2166D"/>
    <w:rsid w:val="00A232B9"/>
    <w:rsid w:val="00A52B18"/>
    <w:rsid w:val="00A60E44"/>
    <w:rsid w:val="00AA6A42"/>
    <w:rsid w:val="00AF24B1"/>
    <w:rsid w:val="00B3232C"/>
    <w:rsid w:val="00B40B7B"/>
    <w:rsid w:val="00B45AF3"/>
    <w:rsid w:val="00B668FD"/>
    <w:rsid w:val="00B72E6A"/>
    <w:rsid w:val="00B75183"/>
    <w:rsid w:val="00B81B96"/>
    <w:rsid w:val="00B91CE5"/>
    <w:rsid w:val="00BB4ACF"/>
    <w:rsid w:val="00BE188F"/>
    <w:rsid w:val="00BE3A93"/>
    <w:rsid w:val="00BE4581"/>
    <w:rsid w:val="00C05F7C"/>
    <w:rsid w:val="00C11399"/>
    <w:rsid w:val="00C271B8"/>
    <w:rsid w:val="00C33D46"/>
    <w:rsid w:val="00C53E7E"/>
    <w:rsid w:val="00C80DB8"/>
    <w:rsid w:val="00CC73D5"/>
    <w:rsid w:val="00CE0DD6"/>
    <w:rsid w:val="00CF0BFA"/>
    <w:rsid w:val="00CF7953"/>
    <w:rsid w:val="00D3544E"/>
    <w:rsid w:val="00D5632C"/>
    <w:rsid w:val="00D57AED"/>
    <w:rsid w:val="00D634A3"/>
    <w:rsid w:val="00D9390D"/>
    <w:rsid w:val="00D96FBE"/>
    <w:rsid w:val="00DA126B"/>
    <w:rsid w:val="00DB1B1F"/>
    <w:rsid w:val="00DC508F"/>
    <w:rsid w:val="00DE44E5"/>
    <w:rsid w:val="00DE743C"/>
    <w:rsid w:val="00E37412"/>
    <w:rsid w:val="00E54439"/>
    <w:rsid w:val="00E92AD8"/>
    <w:rsid w:val="00EA1600"/>
    <w:rsid w:val="00EC0FE8"/>
    <w:rsid w:val="00EC74C6"/>
    <w:rsid w:val="00EE05ED"/>
    <w:rsid w:val="00F23A10"/>
    <w:rsid w:val="00F30755"/>
    <w:rsid w:val="00F316FC"/>
    <w:rsid w:val="00F67056"/>
    <w:rsid w:val="00F72324"/>
    <w:rsid w:val="00F85124"/>
    <w:rsid w:val="00F8642C"/>
    <w:rsid w:val="00F96D3C"/>
    <w:rsid w:val="00FA6787"/>
    <w:rsid w:val="00FB5057"/>
    <w:rsid w:val="00FB5085"/>
    <w:rsid w:val="00FB5847"/>
    <w:rsid w:val="00FC610A"/>
    <w:rsid w:val="00FC72F7"/>
    <w:rsid w:val="00FE12EC"/>
    <w:rsid w:val="00FF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395199-182E-40C5-B8CC-8BA3250B0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1">
    <w:name w:val="Font Style31"/>
    <w:rsid w:val="00EA1600"/>
    <w:rPr>
      <w:rFonts w:ascii="Arial Unicode MS" w:eastAsia="Arial Unicode MS" w:cs="Arial Unicode MS"/>
      <w:b/>
      <w:bCs/>
      <w:sz w:val="14"/>
      <w:szCs w:val="14"/>
    </w:rPr>
  </w:style>
  <w:style w:type="character" w:customStyle="1" w:styleId="FontStyle18">
    <w:name w:val="Font Style18"/>
    <w:basedOn w:val="a0"/>
    <w:rsid w:val="00EA1600"/>
    <w:rPr>
      <w:rFonts w:ascii="Times New Roman" w:hAnsi="Times New Roman" w:cs="Times New Roman"/>
      <w:i/>
      <w:iCs/>
      <w:sz w:val="20"/>
      <w:szCs w:val="20"/>
    </w:rPr>
  </w:style>
  <w:style w:type="paragraph" w:customStyle="1" w:styleId="Style12">
    <w:name w:val="Style12"/>
    <w:basedOn w:val="a"/>
    <w:rsid w:val="00EA1600"/>
    <w:pPr>
      <w:widowControl w:val="0"/>
      <w:autoSpaceDE w:val="0"/>
      <w:autoSpaceDN w:val="0"/>
      <w:adjustRightInd w:val="0"/>
      <w:spacing w:after="0" w:line="274" w:lineRule="exact"/>
      <w:ind w:firstLine="23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rsid w:val="00EA1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A1600"/>
  </w:style>
  <w:style w:type="character" w:styleId="a4">
    <w:name w:val="Strong"/>
    <w:basedOn w:val="a0"/>
    <w:uiPriority w:val="22"/>
    <w:qFormat/>
    <w:rsid w:val="00EA1600"/>
    <w:rPr>
      <w:b/>
      <w:bCs/>
    </w:rPr>
  </w:style>
  <w:style w:type="character" w:customStyle="1" w:styleId="FontStyle366">
    <w:name w:val="Font Style366"/>
    <w:basedOn w:val="a0"/>
    <w:rsid w:val="00EA1600"/>
    <w:rPr>
      <w:rFonts w:ascii="Bookman Old Style" w:hAnsi="Bookman Old Style" w:cs="Bookman Old Style"/>
      <w:i/>
      <w:iCs/>
      <w:sz w:val="16"/>
      <w:szCs w:val="16"/>
    </w:rPr>
  </w:style>
  <w:style w:type="character" w:customStyle="1" w:styleId="FontStyle375">
    <w:name w:val="Font Style375"/>
    <w:basedOn w:val="a0"/>
    <w:rsid w:val="00EA1600"/>
    <w:rPr>
      <w:rFonts w:ascii="Bookman Old Style" w:hAnsi="Bookman Old Style" w:cs="Bookman Old Style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A1600"/>
    <w:rPr>
      <w:color w:val="0000FF"/>
      <w:u w:val="single"/>
    </w:rPr>
  </w:style>
  <w:style w:type="character" w:customStyle="1" w:styleId="FontStyle377">
    <w:name w:val="Font Style377"/>
    <w:basedOn w:val="a0"/>
    <w:rsid w:val="00EA1600"/>
    <w:rPr>
      <w:rFonts w:ascii="Arial Unicode MS" w:eastAsia="Arial Unicode MS" w:cs="Arial Unicode MS"/>
      <w:b/>
      <w:bCs/>
      <w:sz w:val="16"/>
      <w:szCs w:val="16"/>
    </w:rPr>
  </w:style>
  <w:style w:type="paragraph" w:customStyle="1" w:styleId="Style16">
    <w:name w:val="Style16"/>
    <w:basedOn w:val="a"/>
    <w:rsid w:val="00EA1600"/>
    <w:pPr>
      <w:widowControl w:val="0"/>
      <w:autoSpaceDE w:val="0"/>
      <w:autoSpaceDN w:val="0"/>
      <w:adjustRightInd w:val="0"/>
      <w:spacing w:after="0" w:line="223" w:lineRule="exact"/>
      <w:ind w:hanging="96"/>
      <w:jc w:val="both"/>
    </w:pPr>
    <w:rPr>
      <w:rFonts w:ascii="Arial Unicode MS" w:eastAsia="Arial Unicode MS" w:hAnsi="Times New Roman" w:cs="Times New Roman"/>
      <w:sz w:val="24"/>
      <w:szCs w:val="24"/>
      <w:lang w:eastAsia="ru-RU"/>
    </w:rPr>
  </w:style>
  <w:style w:type="paragraph" w:customStyle="1" w:styleId="Style105">
    <w:name w:val="Style105"/>
    <w:basedOn w:val="a"/>
    <w:rsid w:val="00EA1600"/>
    <w:pPr>
      <w:widowControl w:val="0"/>
      <w:autoSpaceDE w:val="0"/>
      <w:autoSpaceDN w:val="0"/>
      <w:adjustRightInd w:val="0"/>
      <w:spacing w:after="0" w:line="250" w:lineRule="exact"/>
      <w:ind w:firstLine="91"/>
      <w:jc w:val="both"/>
    </w:pPr>
    <w:rPr>
      <w:rFonts w:ascii="Arial Unicode MS" w:eastAsia="Arial Unicode MS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8.1c.ru/overview/Term_000000264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462</Words>
  <Characters>2639</Characters>
  <Application>Microsoft Office Word</Application>
  <DocSecurity>0</DocSecurity>
  <Lines>21</Lines>
  <Paragraphs>6</Paragraphs>
  <ScaleCrop>false</ScaleCrop>
  <Company>Reanimator Extreme Edition</Company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Ася</dc:creator>
  <cp:keywords/>
  <dc:description/>
  <cp:lastModifiedBy>Ася</cp:lastModifiedBy>
  <cp:revision>1</cp:revision>
  <dcterms:created xsi:type="dcterms:W3CDTF">2017-06-25T14:04:00Z</dcterms:created>
  <dcterms:modified xsi:type="dcterms:W3CDTF">2017-06-25T14:06:00Z</dcterms:modified>
</cp:coreProperties>
</file>