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39D3" w14:textId="77777777" w:rsidR="004F072C" w:rsidRPr="004F072C" w:rsidRDefault="004F072C" w:rsidP="004F072C">
      <w:pPr>
        <w:jc w:val="center"/>
        <w:rPr>
          <w:b/>
          <w:bCs/>
        </w:rPr>
      </w:pPr>
      <w:r w:rsidRPr="004F072C">
        <w:rPr>
          <w:b/>
          <w:bCs/>
        </w:rPr>
        <w:t>МСКТ ОРГАНОВ БРЮШНОЙ ПОЛОСТИ И</w:t>
      </w:r>
    </w:p>
    <w:p w14:paraId="77A51FA0" w14:textId="40CCBD5F" w:rsidR="004F072C" w:rsidRPr="004F072C" w:rsidRDefault="004F072C" w:rsidP="004F072C">
      <w:pPr>
        <w:jc w:val="center"/>
        <w:rPr>
          <w:b/>
          <w:bCs/>
        </w:rPr>
      </w:pPr>
      <w:r w:rsidRPr="004F072C">
        <w:rPr>
          <w:b/>
          <w:bCs/>
        </w:rPr>
        <w:t>ЗАБРЮШИННОГО ПРОСТРАНСТВА</w:t>
      </w:r>
    </w:p>
    <w:p w14:paraId="6C5D69FB" w14:textId="2E4240D9" w:rsidR="00BB602A" w:rsidRDefault="00BB602A" w:rsidP="004F072C">
      <w:pPr>
        <w:pStyle w:val="a7"/>
        <w:numPr>
          <w:ilvl w:val="0"/>
          <w:numId w:val="3"/>
        </w:numPr>
      </w:pPr>
      <w:r w:rsidRPr="00BB602A">
        <w:t>Пероральное контрастирование водой. Исследование проведено до и после в/в введения йод-содержащего контрастного препарата (</w:t>
      </w:r>
      <w:proofErr w:type="spellStart"/>
      <w:r w:rsidRPr="00BB602A">
        <w:t>Омнипак</w:t>
      </w:r>
      <w:proofErr w:type="spellEnd"/>
      <w:r w:rsidRPr="00BB602A">
        <w:t xml:space="preserve"> 350-100 мл). Побочной реакции на введение контрастного препарата не отмечено.</w:t>
      </w:r>
    </w:p>
    <w:p w14:paraId="6F3AC51A" w14:textId="01AD31D5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Печень обычно расположена, в размерах не увеличена, с ровными, четкими контурами. Структура паренхимы печени гомогенная. Внутри- и внепеченочные желчные протоки не расширены. Элементы ворот дифференцированы, патологически не изменены. Желчный пузырь не увеличен, контуры его четкие, ровные, стенки не утолщены, содержимое гомогенно. </w:t>
      </w:r>
    </w:p>
    <w:p w14:paraId="3CA8796C" w14:textId="1D3E8033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>Селезенка обычно расположена, не увеличена, контуры четкие, ровные,</w:t>
      </w:r>
      <w:r>
        <w:t xml:space="preserve"> </w:t>
      </w:r>
      <w:r w:rsidRPr="004F072C">
        <w:t xml:space="preserve">структура однородная. </w:t>
      </w:r>
    </w:p>
    <w:p w14:paraId="2646EB32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Поджелудочная железа обычно расположена, нормальных размеров, дольчатой структуры, с ровными контурами, однородной структуры. </w:t>
      </w:r>
      <w:proofErr w:type="spellStart"/>
      <w:r w:rsidRPr="004F072C">
        <w:t>Вирсунгов</w:t>
      </w:r>
      <w:proofErr w:type="spellEnd"/>
      <w:r w:rsidRPr="004F072C">
        <w:t xml:space="preserve"> проток не расширен. </w:t>
      </w:r>
      <w:proofErr w:type="spellStart"/>
      <w:r w:rsidRPr="004F072C">
        <w:t>Парапанкреатическая</w:t>
      </w:r>
      <w:proofErr w:type="spellEnd"/>
      <w:r w:rsidRPr="004F072C">
        <w:t xml:space="preserve"> клетчатка не изменена.  </w:t>
      </w:r>
    </w:p>
    <w:p w14:paraId="09B9912B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Двенадцатиперстная кишка – без особенностей. </w:t>
      </w:r>
    </w:p>
    <w:p w14:paraId="2F02D459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>Корень брыжейки – без особенностей. Брыжеечные сосуды не изменены.</w:t>
      </w:r>
    </w:p>
    <w:p w14:paraId="1A9916E0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Положение, форма и размеры надпочечников не изменены. Их контуры ровные, четкие,  структура однородна. </w:t>
      </w:r>
    </w:p>
    <w:p w14:paraId="7E0F6038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Почки обычного положения и размеров, с четкими, ровными  контурами. Почечная паренхима имеет нормальную ширину и структуру. Чашечно-лоханочная система обычной конфигурации, не расширена, в ее просвете конкрементов не выявлено. Мочеточники на исследованном уровне не расширены. </w:t>
      </w:r>
      <w:proofErr w:type="spellStart"/>
      <w:r w:rsidRPr="004F072C">
        <w:t>Паранефральная</w:t>
      </w:r>
      <w:proofErr w:type="spellEnd"/>
      <w:r w:rsidRPr="004F072C">
        <w:t xml:space="preserve"> клетчатка не уплотнена. При контрастировании – корково-мозговая дифференциация сохранена, достижение </w:t>
      </w:r>
      <w:proofErr w:type="spellStart"/>
      <w:r w:rsidRPr="004F072C">
        <w:t>кортикомедулярного</w:t>
      </w:r>
      <w:proofErr w:type="spellEnd"/>
      <w:r w:rsidRPr="004F072C">
        <w:t xml:space="preserve"> равновесия своевременное. Выделительная функция почек достаточная, симметричная, своевременная. </w:t>
      </w:r>
    </w:p>
    <w:p w14:paraId="2EEB442C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Аорта и нижняя полая вена  на исследованных уровнях патологически не изменены. </w:t>
      </w:r>
    </w:p>
    <w:p w14:paraId="12A32155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>Видимые части мягких тканей и легких – без патологических изменений.</w:t>
      </w:r>
    </w:p>
    <w:p w14:paraId="17426916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Данных за наличие выпота в серозных полостях, костно-деструктивных изменений, увеличенных лимфатических узлов брюшной полости и забрюшинного пространства не получено. </w:t>
      </w:r>
    </w:p>
    <w:p w14:paraId="69C6351A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 xml:space="preserve">После внутривенного введения контрастного препарата участков его патологического накопления на исследованном уровне не выявлено. </w:t>
      </w:r>
    </w:p>
    <w:p w14:paraId="73F0048D" w14:textId="77777777" w:rsidR="004F072C" w:rsidRPr="004F072C" w:rsidRDefault="004F072C" w:rsidP="004F072C"/>
    <w:p w14:paraId="59EB9AD2" w14:textId="77777777" w:rsidR="004F072C" w:rsidRPr="004F072C" w:rsidRDefault="004F072C" w:rsidP="004F072C">
      <w:pPr>
        <w:pStyle w:val="a7"/>
        <w:numPr>
          <w:ilvl w:val="0"/>
          <w:numId w:val="3"/>
        </w:numPr>
      </w:pPr>
      <w:r w:rsidRPr="004F072C">
        <w:t>ЗАКЛЮЧЕНИЕ: Органических изменений в органах брюшной полости и забрюшинного пространства не выявлено.</w:t>
      </w:r>
    </w:p>
    <w:p w14:paraId="21B8F09C" w14:textId="77777777" w:rsidR="00E76EA8" w:rsidRDefault="00E76EA8"/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FBA9E" w14:textId="77777777" w:rsidR="006E4C49" w:rsidRDefault="006E4C49" w:rsidP="004F072C">
      <w:pPr>
        <w:spacing w:after="0" w:line="240" w:lineRule="auto"/>
      </w:pPr>
      <w:r>
        <w:separator/>
      </w:r>
    </w:p>
  </w:endnote>
  <w:endnote w:type="continuationSeparator" w:id="0">
    <w:p w14:paraId="280607BD" w14:textId="77777777" w:rsidR="006E4C49" w:rsidRDefault="006E4C49" w:rsidP="004F0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23C3D" w14:textId="77777777" w:rsidR="006E4C49" w:rsidRDefault="006E4C49" w:rsidP="004F072C">
      <w:pPr>
        <w:spacing w:after="0" w:line="240" w:lineRule="auto"/>
      </w:pPr>
      <w:r>
        <w:separator/>
      </w:r>
    </w:p>
  </w:footnote>
  <w:footnote w:type="continuationSeparator" w:id="0">
    <w:p w14:paraId="416956F6" w14:textId="77777777" w:rsidR="006E4C49" w:rsidRDefault="006E4C49" w:rsidP="004F0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254B4"/>
    <w:multiLevelType w:val="hybridMultilevel"/>
    <w:tmpl w:val="A31016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52D0F"/>
    <w:multiLevelType w:val="hybridMultilevel"/>
    <w:tmpl w:val="9E48C2E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C0C21"/>
    <w:multiLevelType w:val="hybridMultilevel"/>
    <w:tmpl w:val="2048D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468049">
    <w:abstractNumId w:val="2"/>
  </w:num>
  <w:num w:numId="2" w16cid:durableId="1371224332">
    <w:abstractNumId w:val="1"/>
  </w:num>
  <w:num w:numId="3" w16cid:durableId="92510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3E"/>
    <w:rsid w:val="001A6779"/>
    <w:rsid w:val="004F072C"/>
    <w:rsid w:val="0065329C"/>
    <w:rsid w:val="006E4C49"/>
    <w:rsid w:val="008D3CD8"/>
    <w:rsid w:val="008D598A"/>
    <w:rsid w:val="00BB602A"/>
    <w:rsid w:val="00E76EA8"/>
    <w:rsid w:val="00F2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10E32"/>
  <w15:chartTrackingRefBased/>
  <w15:docId w15:val="{EF14B7C0-AF3E-43C5-A9FA-0A32EF12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5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65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65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65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65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65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5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65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5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5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65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F0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F072C"/>
  </w:style>
  <w:style w:type="paragraph" w:styleId="ae">
    <w:name w:val="footer"/>
    <w:basedOn w:val="a"/>
    <w:link w:val="af"/>
    <w:uiPriority w:val="99"/>
    <w:unhideWhenUsed/>
    <w:rsid w:val="004F0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F07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2026-07-20T08:35:00Z</dcterms:created>
  <dcterms:modified xsi:type="dcterms:W3CDTF">2026-07-20T08:39:00Z</dcterms:modified>
</cp:coreProperties>
</file>