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32"/>
          <w:u w:val="none"/>
          <w:lang w:val="en-US" w:eastAsia="zh-CN"/>
        </w:rPr>
        <w:t>登录窗口</w:t>
      </w:r>
    </w:p>
    <w:p>
      <w:r>
        <w:drawing>
          <wp:inline xmlns:a="http://schemas.openxmlformats.org/drawingml/2006/main" xmlns:pic="http://schemas.openxmlformats.org/drawingml/2006/picture">
            <wp:extent cx="5486400" cy="3781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1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①页面入口</w:t>
      </w: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系统启动后自动进入登录窗口。</w:t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②页面布局</w:t>
      </w: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包含账号密码输入区、UKey插入区、动态验证码区、状态信息展示区、操作按钮区。</w:t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③字段说明</w:t>
      </w: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工号/账号：用户身份标识。</w:t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口令：登录密码。</w:t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硬件密钥UKey：USB安全令牌。</w:t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动态验证码：一次性登录码。</w:t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状态信息：TLS通道、上次登录、待复查事件。</w:t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④能力说明</w:t>
      </w: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系统将校验账号、密码、UKey和验证码，自动建立TLS安全通道，记录登录日志，权限校验通过后生成会话Token。</w:t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⑤操作案例</w:t>
      </w: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用户输入账号、密码、插入UKey并填验证码→系统校验全部要素→自动生成登录会话并输出进入值守台。</w:t>
      </w:r>
    </w:p>
    <w:p>
      <w:pPr>
        <w:pStyle w:val="Heading2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28"/>
          <w:u w:val="none"/>
          <w:lang w:val="en-US" w:eastAsia="zh-CN"/>
        </w:rPr>
        <w:t>异常行为侦测</w:t>
      </w:r>
    </w:p>
    <w:p>
      <w:r>
        <w:drawing>
          <wp:inline xmlns:a="http://schemas.openxmlformats.org/drawingml/2006/main" xmlns:pic="http://schemas.openxmlformats.org/drawingml/2006/picture">
            <wp:extent cx="5486400" cy="26456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5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28442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用户点击“异常行为侦测”菜单，系统自动加载实时事件流，校验用户权限并记录访问日志，输出最新异常事件列表。</w:t>
      </w:r>
    </w:p>
    <w:p>
      <w:pPr>
        <w:pStyle w:val="ListNumber2"/>
        <w:numPr>
          <w:ilvl w:val="1"/>
          <w:numId w:val="18268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aabb</w:t>
      </w:r>
    </w:p>
    <w:p>
      <w:pPr>
        <w:pStyle w:val="ListNumber2"/>
        <w:numPr>
          <w:ilvl w:val="1"/>
          <w:numId w:val="21794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ccdd</w:t>
      </w:r>
    </w:p>
    <w:p>
      <w:pPr>
        <w:pStyle w:val="ListNumber"/>
        <w:numPr>
          <w:ilvl w:val="0"/>
          <w:numId w:val="30233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用户筛选事件等级与网关，系统同步过滤数据，状态栏显示当前筛选条件，输出命中事件统计与风险指数。</w:t>
      </w:r>
    </w:p>
    <w:p>
      <w:pPr>
        <w:pStyle w:val="ListNumber2"/>
        <w:numPr>
          <w:ilvl w:val="1"/>
          <w:numId w:val="26405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aabb</w:t>
      </w:r>
    </w:p>
    <w:p>
      <w:pPr>
        <w:pStyle w:val="ListNumber2"/>
        <w:numPr>
          <w:ilvl w:val="1"/>
          <w:numId w:val="34186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ccdd</w:t>
      </w:r>
    </w:p>
    <w:p>
      <w:pPr>
        <w:pStyle w:val="ListNumber"/>
        <w:numPr>
          <w:ilvl w:val="0"/>
          <w:numId w:val="32144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用户点击单条事件，系统自动调取详细信息，更新右侧风险画像，输出行为分布、建议处置与历史黑名单。</w:t>
      </w:r>
    </w:p>
    <w:p>
      <w:pPr>
        <w:pStyle w:val="ListNumber2"/>
        <w:numPr>
          <w:ilvl w:val="1"/>
          <w:numId w:val="37835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aabb</w:t>
      </w:r>
    </w:p>
    <w:p>
      <w:pPr>
        <w:pStyle w:val="ListNumber2"/>
        <w:numPr>
          <w:ilvl w:val="1"/>
          <w:numId w:val="43771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ccdd</w:t>
      </w:r>
    </w:p>
    <w:p>
      <w:pPr>
        <w:pStyle w:val="ListNumber"/>
        <w:numPr>
          <w:ilvl w:val="0"/>
          <w:numId w:val="52589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用户执行“分派值守”或“一键联动”，系统校验操作权限，生成处置任务，记录操作日志并通知相关人员，输出任务状态与处置结果。</w:t>
      </w:r>
    </w:p>
    <w:p>
      <w:pPr>
        <w:pStyle w:val="ListBullet2"/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aabb</w:t>
      </w:r>
    </w:p>
    <w:p>
      <w:pPr>
        <w:pStyle w:val="ListBullet2"/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ccdd</w:t>
      </w:r>
    </w:p>
    <w:p>
      <w:pPr>
        <w:pStyle w:val="ListNumber"/>
        <w:numPr>
          <w:ilvl w:val="0"/>
          <w:numId w:val="61244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用户导出事件数据，系统自动生成CSV文件，校验导出权限，记录导出日志，输出文件下载链接。</w:t>
      </w:r>
    </w:p>
    <w:p>
      <w:pPr>
        <w:pStyle w:val="ListBullet2"/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aabb</w:t>
      </w:r>
    </w:p>
    <w:p>
      <w:pPr>
        <w:pStyle w:val="ListBullet2"/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ccdd</w:t>
      </w:r>
    </w:p>
    <w:p>
      <w:pPr>
        <w:pStyle w:val="Heading2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28"/>
          <w:u w:val="none"/>
          <w:lang w:val="en-US" w:eastAsia="zh-CN"/>
        </w:rPr>
        <w:t>一键封控</w:t>
      </w:r>
    </w:p>
    <w:p>
      <w:r>
        <w:drawing>
          <wp:inline xmlns:a="http://schemas.openxmlformats.org/drawingml/2006/main" xmlns:pic="http://schemas.openxmlformats.org/drawingml/2006/picture">
            <wp:extent cx="5486400" cy="36662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6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63437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用户点击“一键封控”，系统校验高危号段及权限，生成封控任务，记录操作日志，输出影响预估与生效时间。</w:t>
      </w:r>
    </w:p>
    <w:p>
      <w:pPr>
        <w:pStyle w:val="ListNumber2"/>
        <w:numPr>
          <w:ilvl w:val="1"/>
          <w:numId w:val="64601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aabb</w:t>
      </w:r>
    </w:p>
    <w:p>
      <w:pPr>
        <w:pStyle w:val="ListNumber2"/>
        <w:numPr>
          <w:ilvl w:val="1"/>
          <w:numId w:val="65621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ccdd</w:t>
      </w:r>
    </w:p>
    <w:p>
      <w:pPr>
        <w:pStyle w:val="ListNumber"/>
        <w:numPr>
          <w:ilvl w:val="0"/>
          <w:numId w:val="71439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用户选择“双签并执行封控”，系统自动同步审批流程，校验L3双签，更新任务状态，通知相关业务方，输出封控执行结果。</w:t>
      </w:r>
    </w:p>
    <w:p>
      <w:pPr>
        <w:pStyle w:val="ListNumber2"/>
        <w:numPr>
          <w:ilvl w:val="1"/>
          <w:numId w:val="81833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aabb</w:t>
      </w:r>
    </w:p>
    <w:p>
      <w:pPr>
        <w:pStyle w:val="ListNumber2"/>
        <w:numPr>
          <w:ilvl w:val="1"/>
          <w:numId w:val="78843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ccdd</w:t>
      </w:r>
    </w:p>
    <w:p>
      <w:pPr>
        <w:pStyle w:val="ListNumber"/>
        <w:numPr>
          <w:ilvl w:val="0"/>
          <w:numId w:val="79721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用户可缩短封控时长，系统校验操作合法性，调整封控策略，记录变更日志，输出新生效时间。</w:t>
      </w:r>
    </w:p>
    <w:p>
      <w:pPr>
        <w:pStyle w:val="ListBullet2"/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aabb</w:t>
      </w:r>
    </w:p>
    <w:p>
      <w:pPr>
        <w:pStyle w:val="ListBullet2"/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ccdd</w:t>
      </w:r>
    </w:p>
    <w:p>
      <w:pPr>
        <w:pStyle w:val="ListNumber"/>
        <w:numPr>
          <w:ilvl w:val="0"/>
          <w:numId w:val="96080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操作完成后，系统自动生成封控事件报告，支持导出PDF，记录全流程日志，输出报告下载链接。</w:t>
      </w:r>
    </w:p>
    <w:p>
      <w:pPr>
        <w:pStyle w:val="ListBullet2"/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aabb</w:t>
      </w:r>
    </w:p>
    <w:p>
      <w:pPr>
        <w:pStyle w:val="ListBullet2"/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ccdd</w:t>
      </w:r>
    </w:p>
    <w:p>
      <w:pPr>
        <w:pStyle w:val="Heading2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28"/>
          <w:u w:val="none"/>
          <w:lang w:val="en-US" w:eastAsia="zh-CN"/>
        </w:rPr>
        <w:t>事件详情</w:t>
      </w:r>
    </w:p>
    <w:p>
      <w:r>
        <w:drawing>
          <wp:inline xmlns:a="http://schemas.openxmlformats.org/drawingml/2006/main" xmlns:pic="http://schemas.openxmlformats.org/drawingml/2006/picture">
            <wp:extent cx="5486400" cy="26456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5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76088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用户点击异常事件，系统自动调取事件详情，校验权限并记录访问日志，输出事件关联链路与建议处置。</w:t>
      </w:r>
    </w:p>
    <w:p>
      <w:pPr>
        <w:pStyle w:val="ListNumber"/>
        <w:numPr>
          <w:ilvl w:val="0"/>
          <w:numId w:val="81424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用户选择“加入观察名单”，系统校验操作合法性，更新名单状态，记录操作日志，通知相关监控人员，输出名单变更结果。</w:t>
      </w:r>
    </w:p>
    <w:p>
      <w:pPr>
        <w:pStyle w:val="ListNumber"/>
        <w:numPr>
          <w:ilvl w:val="0"/>
          <w:numId w:val="83169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用户点击“导出取证”，系统生成事件证据JSON文件，校验导出权限，记录导出日志，输出下载链接。</w:t>
      </w:r>
    </w:p>
    <w:p>
      <w:pPr>
        <w:pStyle w:val="ListNumber"/>
        <w:numPr>
          <w:ilvl w:val="0"/>
          <w:numId w:val="95762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用户应用推荐处置，系统自动同步策略，更新事件状态，记录处置日志，通知业务方，输出处置结果。</w:t>
      </w:r>
    </w:p>
    <w:p>
      <w:pPr>
        <w:pStyle w:val="Heading2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28"/>
          <w:u w:val="none"/>
          <w:lang w:val="en-US" w:eastAsia="zh-CN"/>
        </w:rPr>
        <w:t>通道健康诊断</w:t>
      </w:r>
    </w:p>
    <w:p>
      <w:r>
        <w:drawing>
          <wp:inline xmlns:a="http://schemas.openxmlformats.org/drawingml/2006/main" xmlns:pic="http://schemas.openxmlformats.org/drawingml/2006/picture">
            <wp:extent cx="5486400" cy="26456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5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62428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用户进入“通道健康诊断”，系统自动加载通道健康矩阵，校验权限并记录访问日志，输出健康分布与成功率。</w:t>
      </w:r>
    </w:p>
    <w:p>
      <w:pPr>
        <w:pStyle w:val="ListNumber"/>
        <w:numPr>
          <w:ilvl w:val="0"/>
          <w:numId w:val="67781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用户筛选主用/备用通道，系统同步刷新数据，更新健康指标与QoS告警，输出异常通道详情。</w:t>
      </w:r>
    </w:p>
    <w:p>
      <w:pPr>
        <w:pStyle w:val="ListNumber"/>
        <w:numPr>
          <w:ilvl w:val="0"/>
          <w:numId w:val="70426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用户点击“深度诊断”，系统自动发起主动探测，校验操作合法性，记录诊断日志，输出实时诊断进度与结果。</w:t>
      </w:r>
    </w:p>
    <w:p>
      <w:pPr>
        <w:pStyle w:val="ListNumber"/>
        <w:numPr>
          <w:ilvl w:val="0"/>
          <w:numId w:val="67353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用户导出健康报告，系统生成PDF文件，校验导出权限，记录导出日志，输出下载链接。</w:t>
      </w:r>
    </w:p>
    <w:p>
      <w:pPr>
        <w:pStyle w:val="Heading2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28"/>
          <w:u w:val="none"/>
          <w:lang w:val="en-US" w:eastAsia="zh-CN"/>
        </w:rPr>
        <w:t>主动探测</w:t>
      </w:r>
    </w:p>
    <w:p>
      <w:r>
        <w:drawing>
          <wp:inline xmlns:a="http://schemas.openxmlformats.org/drawingml/2006/main" xmlns:pic="http://schemas.openxmlformats.org/drawingml/2006/picture">
            <wp:extent cx="5486400" cy="33037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3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82039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用户配置探测参数并选择目标通道，系统校验输入合法性，记录操作日志，输出预计耗时。</w:t>
      </w:r>
    </w:p>
    <w:p>
      <w:pPr>
        <w:pStyle w:val="ListNumber"/>
        <w:numPr>
          <w:ilvl w:val="0"/>
          <w:numId w:val="85644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用户点击“发起探测”，系统自动并发发送探测请求，实时监控进度，记录探测日志，输出探测结果与异常告警。</w:t>
      </w:r>
    </w:p>
    <w:p>
      <w:pPr>
        <w:pStyle w:val="ListNumber"/>
        <w:numPr>
          <w:ilvl w:val="0"/>
          <w:numId w:val="92857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用户可保存探测模板，系统生成模板JSON，校验权限，记录保存日志，输出模板保存成功提示。</w:t>
      </w:r>
    </w:p>
    <w:p>
      <w:pPr>
        <w:pStyle w:val="Heading2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28"/>
          <w:u w:val="none"/>
          <w:lang w:val="en-US" w:eastAsia="zh-CN"/>
        </w:rPr>
        <w:t>诊断规则库</w:t>
      </w:r>
    </w:p>
    <w:p>
      <w:r>
        <w:drawing>
          <wp:inline xmlns:a="http://schemas.openxmlformats.org/drawingml/2006/main" xmlns:pic="http://schemas.openxmlformats.org/drawingml/2006/picture">
            <wp:extent cx="5486400" cy="35732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57333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用户查看诊断规则库，系统自动加载全部诊断规则，校验权限并记录访问日志，输出规则明细与当前状态。</w:t>
      </w:r>
    </w:p>
    <w:p>
      <w:pPr>
        <w:pStyle w:val="ListNumber"/>
        <w:numPr>
          <w:ilvl w:val="0"/>
          <w:numId w:val="61321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用户切换规则启用状态，系统校验操作合法性，实时更新规则配置，记录变更日志，输出启用/停用结果。</w:t>
      </w:r>
    </w:p>
    <w:p>
      <w:pPr>
        <w:pStyle w:val="ListNumber"/>
        <w:numPr>
          <w:ilvl w:val="0"/>
          <w:numId w:val="64650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用户点击“保存规则”，系统自动同步规则集，校验一致性，记录保存日志，输出保存成功提示。</w:t>
      </w:r>
    </w:p>
    <w:p>
      <w:pPr>
        <w:pStyle w:val="Heading2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28"/>
          <w:u w:val="none"/>
          <w:lang w:val="en-US" w:eastAsia="zh-CN"/>
        </w:rPr>
        <w:t>即时日志检索</w:t>
      </w:r>
    </w:p>
    <w:p>
      <w:r>
        <w:drawing>
          <wp:inline xmlns:a="http://schemas.openxmlformats.org/drawingml/2006/main" xmlns:pic="http://schemas.openxmlformats.org/drawingml/2006/picture">
            <wp:extent cx="5486400" cy="26456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5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76896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用户输入DSL检索条件并查询，系统校验权限，自动筛选实时日志，记录检索日志，输出结构化结果与原始日志流。</w:t>
      </w:r>
    </w:p>
    <w:p>
      <w:pPr>
        <w:pStyle w:val="ListNumber"/>
        <w:numPr>
          <w:ilvl w:val="0"/>
          <w:numId w:val="81581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用户切换过滤条件，系统同步刷新数据，更新分布统计，记录操作日志，输出命中日志分布。</w:t>
      </w:r>
    </w:p>
    <w:p>
      <w:pPr>
        <w:pStyle w:val="ListNumber"/>
        <w:numPr>
          <w:ilvl w:val="0"/>
          <w:numId w:val="78455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用户保存检索方案，系统生成检索模板JSON，校验保存权限，记录保存日志，输出保存成功提示。</w:t>
      </w:r>
    </w:p>
    <w:p>
      <w:pPr>
        <w:pStyle w:val="ListNumber"/>
        <w:numPr>
          <w:ilvl w:val="0"/>
          <w:numId w:val="89504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用户导出日志，系统生成CSV文件，校验导出权限，记录导出日志，输出下载链接。</w:t>
      </w:r>
    </w:p>
    <w:p>
      <w:pPr>
        <w:pStyle w:val="Heading2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28"/>
          <w:u w:val="none"/>
          <w:lang w:val="en-US" w:eastAsia="zh-CN"/>
        </w:rPr>
        <w:t>订阅告警</w:t>
      </w:r>
    </w:p>
    <w:p>
      <w:r>
        <w:drawing>
          <wp:inline xmlns:a="http://schemas.openxmlformats.org/drawingml/2006/main" xmlns:pic="http://schemas.openxmlformats.org/drawingml/2006/picture">
            <wp:extent cx="5486400" cy="26456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5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99733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用户配置订阅告警条件，系统校验输入合法性，记录操作日志，输出订阅参数预览。</w:t>
      </w:r>
    </w:p>
    <w:p>
      <w:pPr>
        <w:pStyle w:val="ListNumber"/>
        <w:numPr>
          <w:ilvl w:val="0"/>
          <w:numId w:val="18907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用户选择推送渠道与频率，系统自动同步配置，校验权限，记录变更日志，输出推送设置状态。</w:t>
      </w:r>
    </w:p>
    <w:p>
      <w:pPr>
        <w:pStyle w:val="ListNumber"/>
        <w:numPr>
          <w:ilvl w:val="0"/>
          <w:numId w:val="18561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用户点击“订阅并生效”，系统生成告警订阅任务，自动监控DSL命中，触发时推送告警，记录全流程日志，输出订阅生效提示。</w:t>
      </w:r>
    </w:p>
    <w:p>
      <w:pPr>
        <w:pStyle w:val="Heading2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28"/>
          <w:u w:val="none"/>
          <w:lang w:val="en-US" w:eastAsia="zh-CN"/>
        </w:rPr>
        <w:t>多维频控配置</w:t>
      </w:r>
    </w:p>
    <w:p>
      <w:r>
        <w:drawing>
          <wp:inline xmlns:a="http://schemas.openxmlformats.org/drawingml/2006/main" xmlns:pic="http://schemas.openxmlformats.org/drawingml/2006/picture">
            <wp:extent cx="5486400" cy="26456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5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30215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用户配置多维频控规则，系统校验参数合法性，实时保存编辑日志，输出维度启用状态与规则明细。</w:t>
      </w:r>
    </w:p>
    <w:p>
      <w:pPr>
        <w:pStyle w:val="ListNumber"/>
        <w:numPr>
          <w:ilvl w:val="0"/>
          <w:numId w:val="28314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用户点击“预演 What-if”，系统自动模拟策略影响，生成覆盖率、成本与命中示例，输出预演结果与优化建议。</w:t>
      </w:r>
    </w:p>
    <w:p>
      <w:pPr>
        <w:pStyle w:val="ListNumber"/>
        <w:numPr>
          <w:ilvl w:val="0"/>
          <w:numId w:val="35730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用户发布至生产，系统校验权限，同步规则至全节点，记录发布日志，输出生效提示与版本号。</w:t>
      </w:r>
    </w:p>
    <w:p>
      <w:pPr>
        <w:pStyle w:val="Heading1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32"/>
          <w:u w:val="none"/>
          <w:lang w:val="en-US" w:eastAsia="zh-CN"/>
        </w:rPr>
        <w:t>发布策略</w:t>
      </w:r>
    </w:p>
    <w:p>
      <w:r>
        <w:drawing>
          <wp:inline xmlns:a="http://schemas.openxmlformats.org/drawingml/2006/main" xmlns:pic="http://schemas.openxmlformats.org/drawingml/2006/picture">
            <wp:extent cx="5486400" cy="26456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5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①页面入口</w:t>
      </w: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多维频控配置→发布策略→发布至生产</w:t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②页面布局</w:t>
      </w: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弹窗包含：策略变更明细区、友度带条区、审批链区、操作按钮区（生成变更公告/取消/双签并发布）</w:t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③字段说明</w:t>
      </w: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规则明细：规则名、类型、动作、影响</w:t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友度带条：分档比例、影响时长</w:t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审批链：发起、复核、通知对象</w:t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版本号：策略版本标识</w:t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④能力说明</w:t>
      </w: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系统自动校验变更影响，生成变更公告，支持双签审批，自动记录日志，状态流转为“已发布”，并同步策略至各业务方，输出JSON及公告PDF。</w:t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⑤操作案例</w:t>
      </w: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用户点击“双签并发布”→系统校验审批状态、生成公告、同步策略、记录日志→策略状态变为“已发布”，公告PDF与JSON下发。</w:t>
      </w:r>
    </w:p>
    <w:p>
      <w:pPr>
        <w:pStyle w:val="Heading2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28"/>
          <w:u w:val="none"/>
          <w:lang w:val="en-US" w:eastAsia="zh-CN"/>
        </w:rPr>
        <w:t>选择白名单</w:t>
      </w:r>
    </w:p>
    <w:p>
      <w:r>
        <w:drawing>
          <wp:inline xmlns:a="http://schemas.openxmlformats.org/drawingml/2006/main" xmlns:pic="http://schemas.openxmlformats.org/drawingml/2006/picture">
            <wp:extent cx="5486400" cy="28803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83499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用户勾选白名单项，系统自动校验选择数量与权限，实时统计已选条目，记录操作日志，界面显示已选数量。</w:t>
      </w:r>
    </w:p>
    <w:p>
      <w:pPr>
        <w:pStyle w:val="ListNumber"/>
        <w:numPr>
          <w:ilvl w:val="0"/>
          <w:numId w:val="92706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用户点击“应用豁免”，系统校验权限、同步豁免名单至策略引擎，状态变更为“豁免中”，生成操作日志，输出同步结果JSON，异常时弹窗提示。</w:t>
      </w:r>
    </w:p>
    <w:p>
      <w:pPr>
        <w:pStyle w:val="Heading2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28"/>
          <w:u w:val="none"/>
          <w:lang w:val="en-US" w:eastAsia="zh-CN"/>
        </w:rPr>
        <w:t>智能黑白名单</w:t>
      </w:r>
    </w:p>
    <w:p>
      <w:r>
        <w:drawing>
          <wp:inline xmlns:a="http://schemas.openxmlformats.org/drawingml/2006/main" xmlns:pic="http://schemas.openxmlformats.org/drawingml/2006/picture">
            <wp:extent cx="5486400" cy="26456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5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12090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用户勾选黑名单/观察名单项，点击迁移按钮，系统校验权限与数据有效性，自动记录日志，状态变为“已选”，界面同步显示已选数量。</w:t>
      </w:r>
    </w:p>
    <w:p>
      <w:pPr>
        <w:pStyle w:val="ListNumber"/>
        <w:numPr>
          <w:ilvl w:val="0"/>
          <w:numId w:val="20165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用户点击“保存变更”，系统校验变更内容，自动同步名单至策略引擎，状态变更为“已保存”，生成操作日志，支持CSV导出，异常时弹窗提示。</w:t>
      </w:r>
    </w:p>
    <w:p>
      <w:pPr>
        <w:pStyle w:val="Heading2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28"/>
          <w:u w:val="none"/>
          <w:lang w:val="en-US" w:eastAsia="zh-CN"/>
        </w:rPr>
        <w:t>保存变更</w:t>
      </w:r>
    </w:p>
    <w:p>
      <w:r>
        <w:drawing>
          <wp:inline xmlns:a="http://schemas.openxmlformats.org/drawingml/2006/main" xmlns:pic="http://schemas.openxmlformats.org/drawingml/2006/picture">
            <wp:extent cx="5486400" cy="258899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8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17319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用户点击“保存并同步”，系统校验变更条目与目标API，自动生成变更公告，同步名单至3家供应商API，记录操作日志，状态变为“同步完成”，输出同步结果JSON及公告PDF，异常时弹窗提示。</w:t>
      </w:r>
    </w:p>
    <w:p>
      <w:pPr>
        <w:pStyle w:val="Heading2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28"/>
          <w:u w:val="none"/>
          <w:lang w:val="en-US" w:eastAsia="zh-CN"/>
        </w:rPr>
        <w:t>AI智能推荐</w:t>
      </w:r>
    </w:p>
    <w:p>
      <w:r>
        <w:drawing>
          <wp:inline xmlns:a="http://schemas.openxmlformats.org/drawingml/2006/main" xmlns:pic="http://schemas.openxmlformats.org/drawingml/2006/picture">
            <wp:extent cx="5486400" cy="435994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9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97136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用户点击“采纳X条推荐”，系统校验选择项与置信度，自动生成迁移清单，记录AI决策日志，状态变更为“待迁移”，界面输出采纳结果，支持导出JSON，异常时弹窗提示。</w:t>
      </w:r>
    </w:p>
    <w:p>
      <w:pPr>
        <w:pStyle w:val="Heading2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28"/>
          <w:u w:val="none"/>
          <w:lang w:val="en-US" w:eastAsia="zh-CN"/>
        </w:rPr>
        <w:t>内容合规审核</w:t>
      </w:r>
    </w:p>
    <w:p>
      <w:r>
        <w:drawing>
          <wp:inline xmlns:a="http://schemas.openxmlformats.org/drawingml/2006/main" xmlns:pic="http://schemas.openxmlformats.org/drawingml/2006/picture">
            <wp:extent cx="5486400" cy="26456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5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80909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用户选择待审内容，点击“拒绝/归档/放行”，系统自动校验合规分层与风险项，记录决策日志，状态变更为“已处理”，同步审核结果至业务方，输出审核决策JSON，异常时弹窗提示。</w:t>
      </w:r>
    </w:p>
    <w:p>
      <w:pPr>
        <w:pStyle w:val="Heading2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28"/>
          <w:u w:val="none"/>
          <w:lang w:val="en-US" w:eastAsia="zh-CN"/>
        </w:rPr>
        <w:t>批量放行</w:t>
      </w:r>
    </w:p>
    <w:p>
      <w:r>
        <w:drawing>
          <wp:inline xmlns:a="http://schemas.openxmlformats.org/drawingml/2006/main" xmlns:pic="http://schemas.openxmlformats.org/drawingml/2006/picture">
            <wp:extent cx="5486400" cy="26456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5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40237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用户点击“批量放行”，系统校验队列权限与内容合规，自动生成放行记录，批量同步至短信业务方，状态变更为“已放行”，记录操作日志，输出放行结果JSON，异常时弹窗提示。</w:t>
      </w:r>
    </w:p>
    <w:p>
      <w:pPr>
        <w:pStyle w:val="Heading2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28"/>
          <w:u w:val="none"/>
          <w:lang w:val="en-US" w:eastAsia="zh-CN"/>
        </w:rPr>
        <w:t>拒绝归档</w:t>
      </w:r>
    </w:p>
    <w:p>
      <w:r>
        <w:drawing>
          <wp:inline xmlns:a="http://schemas.openxmlformats.org/drawingml/2006/main" xmlns:pic="http://schemas.openxmlformats.org/drawingml/2006/picture">
            <wp:extent cx="5486400" cy="282968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9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96894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用户填写拒绝原因并点击“确认拒绝”，系统校验理由完整性，自动生成归档编号，记录操作日志，状态变更为“已拒绝”，同步通知业务方，输出拒绝结果JSON，异常时弹窗提示。</w:t>
      </w:r>
    </w:p>
    <w:p>
      <w:pPr>
        <w:pStyle w:val="Heading2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28"/>
          <w:u w:val="none"/>
          <w:lang w:val="en-US" w:eastAsia="zh-CN"/>
        </w:rPr>
        <w:t>历史处置案例</w:t>
      </w:r>
    </w:p>
    <w:p>
      <w:r>
        <w:drawing>
          <wp:inline xmlns:a="http://schemas.openxmlformats.org/drawingml/2006/main" xmlns:pic="http://schemas.openxmlformats.org/drawingml/2006/picture">
            <wp:extent cx="5486400" cy="264563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5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62519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用户查看历史处置案例，系统自动检索近30天相似记录，校验关键词与决策一致性，生成参考列表，状态变更为“已展示”，记录查询日志，输出案例JSON，异常时弹窗提示。</w:t>
      </w:r>
    </w:p>
    <w:p>
      <w:pPr>
        <w:pStyle w:val="Heading2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28"/>
          <w:u w:val="none"/>
          <w:lang w:val="en-US" w:eastAsia="zh-CN"/>
        </w:rPr>
        <w:t>发送效能分析</w:t>
      </w:r>
    </w:p>
    <w:p>
      <w:r>
        <w:drawing>
          <wp:inline xmlns:a="http://schemas.openxmlformats.org/drawingml/2006/main" xmlns:pic="http://schemas.openxmlformats.org/drawingml/2006/picture">
            <wp:extent cx="5486400" cy="264563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5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25915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用户切换维度或导出报告，系统自动汇总发送量、成功率、延时等指标，校验数据完整性，生成趋势图与报表，状态变更为“已分析”，支持导出CSV/PDF，记录操作日志，异常时弹窗提示。</w:t>
      </w:r>
    </w:p>
    <w:p>
      <w:pPr>
        <w:pStyle w:val="Heading1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32"/>
          <w:u w:val="none"/>
          <w:lang w:val="en-US" w:eastAsia="zh-CN"/>
        </w:rPr>
        <w:t>保存视图</w:t>
      </w:r>
    </w:p>
    <w:p>
      <w:r>
        <w:drawing>
          <wp:inline xmlns:a="http://schemas.openxmlformats.org/drawingml/2006/main" xmlns:pic="http://schemas.openxmlformats.org/drawingml/2006/picture">
            <wp:extent cx="5486400" cy="23532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①页面入口</w:t>
      </w: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监控系统首页→保存视图弹窗</w:t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②页面布局</w:t>
      </w: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表单区（名称、可见范围、快捷入口、定时刷新）、操作区（保存/取消）</w:t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③字段说明</w:t>
      </w:r>
    </w:p>
    <w:p>
      <w:pPr>
        <w:pStyle w:val="ListBullet"/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名称：视图标题</w:t>
      </w:r>
    </w:p>
    <w:p>
      <w:pPr>
        <w:pStyle w:val="ListBullet"/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可见范围：视图共享权限</w:t>
      </w:r>
    </w:p>
    <w:p>
      <w:pPr>
        <w:pStyle w:val="ListBullet"/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快捷入口：首页/大屏快捷方式</w:t>
      </w:r>
    </w:p>
    <w:p>
      <w:pPr>
        <w:pStyle w:val="ListBullet"/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定时刷新：自动刷新频率</w:t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④能力说明</w:t>
      </w: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系统将校验输入、保存视图配置、同步权限、生成视图JSON配置，记录日志，支持定时刷新。</w:t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⑤操作案例</w:t>
      </w: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用户填写表单→点击保存→系统校验并存储视图→生成JSON配置→权限同步→首页快捷入口更新→操作日志记录。</w:t>
      </w:r>
    </w:p>
    <w:p>
      <w:pPr>
        <w:pStyle w:val="Heading2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28"/>
          <w:u w:val="none"/>
          <w:lang w:val="en-US" w:eastAsia="zh-CN"/>
        </w:rPr>
        <w:t>维度切片</w:t>
      </w:r>
    </w:p>
    <w:p>
      <w:r>
        <w:drawing>
          <wp:inline xmlns:a="http://schemas.openxmlformats.org/drawingml/2006/main" xmlns:pic="http://schemas.openxmlformats.org/drawingml/2006/picture">
            <wp:extent cx="5486400" cy="264563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5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点击“维度切片”→系统弹窗展示维度与指标选项，校验当前已选数量，限制最多5维→用户勾选维度与指标→系统实时标记已选项，自动校验组合合法性→用户点击“应用切片”→系统保存配置、刷新图表数据、记录日志→界面同步展示最新分析结果。</w:t>
      </w:r>
    </w:p>
    <w:p>
      <w:pPr>
        <w:pStyle w:val="Heading2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28"/>
          <w:u w:val="none"/>
          <w:lang w:val="en-US" w:eastAsia="zh-CN"/>
        </w:rPr>
        <w:t>供应商质量评估</w:t>
      </w:r>
    </w:p>
    <w:p>
      <w:r>
        <w:drawing>
          <wp:inline xmlns:a="http://schemas.openxmlformats.org/drawingml/2006/main" xmlns:pic="http://schemas.openxmlformats.org/drawingml/2006/picture">
            <wp:extent cx="5486400" cy="264563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5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进入“供应商质量评估”→系统自动加载主备供应商数据，计算综合评分与各项指标，生成对比雷达图→用户切换供应商或调整权重→系统实时刷新对比结果，校验数据合法性，记录操作日志→用户点击“输出年度评估”→系统生成PDF报告并提供下载，输出评估结论。</w:t>
      </w:r>
    </w:p>
    <w:p>
      <w:pPr>
        <w:pStyle w:val="Heading2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28"/>
          <w:u w:val="none"/>
          <w:lang w:val="en-US" w:eastAsia="zh-CN"/>
        </w:rPr>
        <w:t>输出年度评级</w:t>
      </w:r>
    </w:p>
    <w:p>
      <w:r>
        <w:drawing>
          <wp:inline xmlns:a="http://schemas.openxmlformats.org/drawingml/2006/main" xmlns:pic="http://schemas.openxmlformats.org/drawingml/2006/picture">
            <wp:extent cx="5486400" cy="267152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1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用户点击“输出年度评级”→系统自动汇总年度供应商评分、评级及变动，校验数据完整性→用户确认生成年度报告→系统生成PDF文件，记录操作日志，输出下载链接，通知用户生成结果。</w:t>
      </w:r>
    </w:p>
    <w:p>
      <w:pPr>
        <w:pStyle w:val="Heading2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28"/>
          <w:u w:val="none"/>
          <w:lang w:val="en-US" w:eastAsia="zh-CN"/>
        </w:rPr>
        <w:t>调整流量分配</w:t>
      </w:r>
    </w:p>
    <w:p>
      <w:r>
        <w:drawing>
          <wp:inline xmlns:a="http://schemas.openxmlformats.org/drawingml/2006/main" xmlns:pic="http://schemas.openxmlformats.org/drawingml/2006/picture">
            <wp:extent cx="5486400" cy="264563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5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点击“调整流量分配”→系统弹窗展示供应商分配比例滑块，校验比例总和与步进规则→用户调整目标分配→系统实时更新比例，校验合法性→用户点击“应用分配”→系统同步分配策略，记录日志，通知相关人员，界面刷新分配状态。</w:t>
      </w:r>
    </w:p>
    <w:p>
      <w:pPr>
        <w:pStyle w:val="Heading2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28"/>
          <w:u w:val="none"/>
          <w:lang w:val="en-US" w:eastAsia="zh-CN"/>
        </w:rPr>
        <w:t>安全事件复盘</w:t>
      </w:r>
    </w:p>
    <w:p>
      <w:r>
        <w:drawing>
          <wp:inline xmlns:a="http://schemas.openxmlformats.org/drawingml/2006/main" xmlns:pic="http://schemas.openxmlformats.org/drawingml/2006/picture">
            <wp:extent cx="5486400" cy="264563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5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进入“安全事件复盘”→系统自动加载事件列表与详情，按时间轴展示进展，统计影响面与责任分派→用户切换事件或导出报告→系统刷新数据、校验权限、记录日志，输出SW1H/CMDB文件，通知相关责任人，更新任务状态。</w:t>
      </w:r>
    </w:p>
    <w:p>
      <w:pPr>
        <w:pStyle w:val="Heading2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28"/>
          <w:u w:val="none"/>
          <w:lang w:val="en-US" w:eastAsia="zh-CN"/>
        </w:rPr>
        <w:t>发起复盘会</w:t>
      </w:r>
    </w:p>
    <w:p>
      <w:r>
        <w:drawing>
          <wp:inline xmlns:a="http://schemas.openxmlformats.org/drawingml/2006/main" xmlns:pic="http://schemas.openxmlformats.org/drawingml/2006/picture">
            <wp:extent cx="5486400" cy="298393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用户点击“发起复盘会”→系统弹窗展示与会人员及时间，校验成员权限与时间冲突→用户确认并点击“发起会议”→系统生成会议流程PDF，自动同步会议通知至IM，记录操作日志，更新会议状态。</w:t>
      </w:r>
    </w:p>
    <w:p>
      <w:pPr>
        <w:pStyle w:val="Heading2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28"/>
          <w:u w:val="none"/>
          <w:lang w:val="en-US" w:eastAsia="zh-CN"/>
        </w:rPr>
        <w:t>事件复盘</w:t>
      </w:r>
    </w:p>
    <w:p>
      <w:r>
        <w:drawing>
          <wp:inline xmlns:a="http://schemas.openxmlformats.org/drawingml/2006/main" xmlns:pic="http://schemas.openxmlformats.org/drawingml/2006/picture">
            <wp:extent cx="5486400" cy="311400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4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用户查看事件复盘详情→系统展示5W1H要素、时间节点与改进项，自动同步责任人及状态→用户导出SW1H或关联CMDB→系统校验权限，生成PDF/JSON文件，记录操作日志，通知相关责任人，界面实时更新进展。</w:t>
      </w:r>
    </w:p>
    <w:p>
      <w:pPr>
        <w:pStyle w:val="Heading2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28"/>
          <w:u w:val="none"/>
          <w:lang w:val="en-US" w:eastAsia="zh-CN"/>
        </w:rPr>
        <w:t>网关路由策略</w:t>
      </w:r>
    </w:p>
    <w:p>
      <w:r>
        <w:drawing>
          <wp:inline xmlns:a="http://schemas.openxmlformats.org/drawingml/2006/main" xmlns:pic="http://schemas.openxmlformats.org/drawingml/2006/picture">
            <wp:extent cx="5486400" cy="264563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5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进入“网关路由策略”→系统加载路由拓扑、权重矩阵及链路详情，自动校验链路状态→用户调整权重或链路→系统实时更新预览，校验配置合法性，记录日志→用户点击“策略发布”→系统同步下发新策略，输出发布结果，通知相关人员，界面刷新为最新状态。</w:t>
      </w:r>
    </w:p>
    <w:p>
      <w:pPr>
        <w:pStyle w:val="Heading2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28"/>
          <w:u w:val="none"/>
          <w:lang w:val="en-US" w:eastAsia="zh-CN"/>
        </w:rPr>
        <w:t>保存拓扑</w:t>
      </w:r>
    </w:p>
    <w:p>
      <w:r>
        <w:drawing>
          <wp:inline xmlns:a="http://schemas.openxmlformats.org/drawingml/2006/main" xmlns:pic="http://schemas.openxmlformats.org/drawingml/2006/picture">
            <wp:extent cx="5486400" cy="282748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7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用户点击“保存拓扑快照”→系统弹窗展示快照信息与包含内容选项，校验输入完整性→用户填写快照名、标签、说明并勾选内容→系统保存快照，生成JSON文件，记录日志，输出快照列表，通知相关人员。</w:t>
      </w:r>
    </w:p>
    <w:p>
      <w:pPr>
        <w:pStyle w:val="Heading1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32"/>
          <w:u w:val="none"/>
          <w:lang w:val="en-US" w:eastAsia="zh-CN"/>
        </w:rPr>
        <w:t>链路详情</w:t>
      </w:r>
    </w:p>
    <w:p>
      <w:r>
        <w:drawing>
          <wp:inline xmlns:a="http://schemas.openxmlformats.org/drawingml/2006/main" xmlns:pic="http://schemas.openxmlformats.org/drawingml/2006/picture">
            <wp:extent cx="5486400" cy="264563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5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① 页面入口</w:t>
      </w: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「网关路由策略」模块，点击链路名称进入链路详情。</w:t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② 页面布局</w:t>
      </w: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弹窗展示，含链路基础信息区、链路指标区、路由策略区、操作按钮区（灰度/熔断/取消/关闭）。</w:t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③ 字段说明</w:t>
      </w:r>
    </w:p>
    <w:p>
      <w:pPr>
        <w:pStyle w:val="ListBullet"/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链路名称：链路标识与协议信息</w:t>
      </w:r>
    </w:p>
    <w:p>
      <w:pPr>
        <w:pStyle w:val="ListBullet"/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今日量：链路当日处理量</w:t>
      </w:r>
    </w:p>
    <w:p>
      <w:pPr>
        <w:pStyle w:val="ListBullet"/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成功率：链路消息成功率</w:t>
      </w:r>
    </w:p>
    <w:p>
      <w:pPr>
        <w:pStyle w:val="ListBullet"/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P95时延：95分位响应时延</w:t>
      </w:r>
    </w:p>
    <w:p>
      <w:pPr>
        <w:pStyle w:val="ListBullet"/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重传率：消息重传占比</w:t>
      </w:r>
    </w:p>
    <w:p>
      <w:pPr>
        <w:pStyle w:val="ListBullet"/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选择器/优先级：路由条件与优先级</w:t>
      </w:r>
    </w:p>
    <w:p>
      <w:pPr>
        <w:pStyle w:val="ListBullet"/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权重：分配流量权重</w:t>
      </w:r>
    </w:p>
    <w:p>
      <w:pPr>
        <w:pStyle w:val="ListBullet"/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熔断阈值：触发熔断的条件</w:t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④ 能力说明</w:t>
      </w: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系统自动统计链路实时指标，支持链路灰度、熔断操作，变更自动记录日志并同步链路状态，支持数据导出（JSON）。</w:t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⑤ 操作案例</w:t>
      </w: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用户点击“熔断”→系统校验权限，变更链路状态为熔断，记录日志并同步至路由策略→前端弹窗提示操作成功。</w:t>
      </w:r>
    </w:p>
    <w:p>
      <w:pPr>
        <w:pStyle w:val="Heading2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28"/>
          <w:u w:val="none"/>
          <w:lang w:val="en-US" w:eastAsia="zh-CN"/>
        </w:rPr>
        <w:t>操作审计追踪</w:t>
      </w:r>
    </w:p>
    <w:p>
      <w:r>
        <w:drawing>
          <wp:inline xmlns:a="http://schemas.openxmlformats.org/drawingml/2006/main" xmlns:pic="http://schemas.openxmlformats.org/drawingml/2006/picture">
            <wp:extent cx="5486400" cy="264563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5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86369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用户筛选操作审计记录，输入检索条件→系统校验权限，查询并展示匹配操作流水→页面状态刷新，输出列表与明细日志。</w:t>
      </w:r>
    </w:p>
    <w:p>
      <w:pPr>
        <w:pStyle w:val="ListNumber"/>
        <w:numPr>
          <w:ilvl w:val="0"/>
          <w:numId w:val="91237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用户点击“导出审计日志”→系统校验导出权限，生成并下载审计日志文件（CSV），记录导出行为→页面提示导出成功。</w:t>
      </w:r>
    </w:p>
    <w:p>
      <w:pPr>
        <w:pStyle w:val="ListNumber"/>
        <w:numPr>
          <w:ilvl w:val="0"/>
          <w:numId w:val="91325"/>
        </w:numPr>
        <w:spacing w:line="240" w:lineRule="auto" w:before="0" w:after="0"/>
        <w:ind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用户点击“重新验签”→系统校验权限，自动校验日志链完整性，更新验签状态→页面显示校验结果，异常时输出告警提示。</w:t>
      </w:r>
    </w:p>
    <w:p>
      <w:pPr>
        <w:pStyle w:val="Heading2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28"/>
          <w:u w:val="none"/>
          <w:lang w:val="en-US" w:eastAsia="zh-CN"/>
        </w:rPr>
        <w:t>导出审计包</w:t>
      </w:r>
    </w:p>
    <w:p>
      <w:r>
        <w:drawing>
          <wp:inline xmlns:a="http://schemas.openxmlformats.org/drawingml/2006/main" xmlns:pic="http://schemas.openxmlformats.org/drawingml/2006/picture">
            <wp:extent cx="5486400" cy="291405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用户选择导出审计包，设定时间、类型、操作员及输出格式→系统校验权限与参数，自动生成加密审计包（zst+gpg），写入导出日志→页面提示导出成功，文件下载。</w:t>
      </w:r>
    </w:p>
    <w:p>
      <w:pPr>
        <w:pStyle w:val="Heading2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28"/>
          <w:u w:val="none"/>
          <w:lang w:val="en-US" w:eastAsia="zh-CN"/>
        </w:rPr>
        <w:t>全局参数调优</w:t>
      </w:r>
    </w:p>
    <w:p>
      <w:r>
        <w:drawing>
          <wp:inline xmlns:a="http://schemas.openxmlformats.org/drawingml/2006/main" xmlns:pic="http://schemas.openxmlformats.org/drawingml/2006/picture">
            <wp:extent cx="5486400" cy="264563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5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用户调整全局参数并提交审批→系统校验权限与参数有效性，记录变更日志，触发影响分析→参数状态变为“待提交”，页面展示影响范围与审批进度，输出变更记录。</w:t>
      </w:r>
    </w:p>
    <w:p>
      <w:pPr>
        <w:pStyle w:val="Heading2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28"/>
          <w:u w:val="none"/>
          <w:lang w:val="en-US" w:eastAsia="zh-CN"/>
        </w:rPr>
        <w:t>发布配置</w:t>
      </w:r>
    </w:p>
    <w:p>
      <w:r>
        <w:drawing>
          <wp:inline xmlns:a="http://schemas.openxmlformats.org/drawingml/2006/main" xmlns:pic="http://schemas.openxmlformats.org/drawingml/2006/picture">
            <wp:extent cx="5486400" cy="299948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用户选择发布策略并确认命令，点击“开始发布”→系统校验权限与参数，按灰度策略逐步同步配置，记录发布日志，开启回滚窗口→页面提示发布进度，支持一键回滚，输出发布结果。</w:t>
      </w:r>
    </w:p>
    <w:p>
      <w:pPr>
        <w:pStyle w:val="Heading2"/>
        <w:spacing w:line="360" w:lineRule="auto" w:before="0" w:after="0"/>
        <w:ind w:firstLine="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/>
          <w:i w:val="0"/>
          <w:color w:val="000000"/>
          <w:sz w:val="28"/>
          <w:u w:val="none"/>
          <w:lang w:val="en-US" w:eastAsia="zh-CN"/>
        </w:rPr>
        <w:t>影响分析</w:t>
      </w:r>
    </w:p>
    <w:p>
      <w:r>
        <w:drawing>
          <wp:inline xmlns:a="http://schemas.openxmlformats.org/drawingml/2006/main" xmlns:pic="http://schemas.openxmlformats.org/drawingml/2006/picture">
            <wp:extent cx="5486400" cy="264563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5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440"/>
        <w:jc w:val="left"/>
        <w:textAlignment w:val="auto"/>
        <w:snapToGrid w:val="1"/>
        <w:kinsoku/>
        <w:overflowPunct/>
        <w:adjustRightInd/>
      </w:pPr>
      <w:r>
        <w:rPr>
          <w:rFonts w:ascii="微软雅黑" w:hAnsi="微软雅黑" w:eastAsia="微软雅黑" w:cs="微软雅黑"/>
          <w:b w:val="0"/>
          <w:i w:val="0"/>
          <w:color w:val="000000"/>
          <w:sz w:val="22"/>
          <w:u w:val="none"/>
          <w:lang w:val="en-US" w:eastAsia="zh-CN"/>
        </w:rPr>
        <w:t>用户发起参数变更影响分析→系统自动回溯近30天流量，计算成功率、时延、成本等指标，分场景覆盖率→分析结果弹窗展示，状态变更为“已评估”，输出详细影响报告。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 w:type="lines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99">
    <w:multiLevelType w:val="multilevel"/>
    <!-- 一级 -->
    <w:lvl w:ilvl="0">
      <w:start w:val="1"/>
      <w:numFmt w:val="decimal"/>
      <w:lvlText w:val="%1."/>
      <w:lvlJc w:val="left"/>
      <w:pPr>
        <w:ind w:left="360" w:hanging="360"/>
      </w:pPr>
    </w:lvl>
    <!-- 二级 -->
    <w:lvl w:ilvl="1">
      <w:start w:val="1"/>
      <w:numFmt w:val="decimal"/>
      <w:lvlText w:val="%1.%2"/>
      <w:lvlJc w:val="left"/>
      <w:pPr>
        <w:ind w:left="720" w:hanging="360"/>
      </w:pPr>
    </w:lvl>
    <!-- 三级 -->
    <w:lvl w:ilvl="2">
      <w:start w:val="1"/>
      <w:numFmt w:val="decimal"/>
      <w:lvlText w:val="%1.%2.%3"/>
      <w:lvlJc w:val="left"/>
      <w:pPr>
        <w:ind w:left="1080" w:hanging="360"/>
      </w:pPr>
    </w:lvl>
  </w:abstractNum>
  <w:num w:numId="28442">
    <w:abstractNumId w:val="999"/>
    <w:lvlOverride w:ilvl="0">
      <w:startOverride w:val="1"/>
    </w:lvlOverride>
  </w:num>
  <w:num w:numId="18268">
    <w:abstractNumId w:val="999"/>
    <w:lvlOverride w:ilvl="1">
      <w:startOverride w:val="1"/>
    </w:lvlOverride>
  </w:num>
  <w:num w:numId="21794">
    <w:abstractNumId w:val="999"/>
  </w:num>
  <w:num w:numId="30233">
    <w:abstractNumId w:val="999"/>
  </w:num>
  <w:num w:numId="26405">
    <w:abstractNumId w:val="999"/>
    <w:lvlOverride w:ilvl="1">
      <w:startOverride w:val="1"/>
    </w:lvlOverride>
  </w:num>
  <w:num w:numId="34186">
    <w:abstractNumId w:val="999"/>
  </w:num>
  <w:num w:numId="32144">
    <w:abstractNumId w:val="999"/>
  </w:num>
  <w:num w:numId="37835">
    <w:abstractNumId w:val="999"/>
    <w:lvlOverride w:ilvl="1">
      <w:startOverride w:val="1"/>
    </w:lvlOverride>
  </w:num>
  <w:num w:numId="43771">
    <w:abstractNumId w:val="999"/>
  </w:num>
  <w:num w:numId="52589">
    <w:abstractNumId w:val="999"/>
  </w:num>
  <w:num w:numId="61244">
    <w:abstractNumId w:val="999"/>
  </w:num>
  <w:num w:numId="63437">
    <w:abstractNumId w:val="999"/>
    <w:lvlOverride w:ilvl="0">
      <w:startOverride w:val="1"/>
    </w:lvlOverride>
  </w:num>
  <w:num w:numId="64601">
    <w:abstractNumId w:val="999"/>
    <w:lvlOverride w:ilvl="1">
      <w:startOverride w:val="1"/>
    </w:lvlOverride>
  </w:num>
  <w:num w:numId="65621">
    <w:abstractNumId w:val="999"/>
  </w:num>
  <w:num w:numId="71439">
    <w:abstractNumId w:val="999"/>
  </w:num>
  <w:num w:numId="81833">
    <w:abstractNumId w:val="999"/>
    <w:lvlOverride w:ilvl="1">
      <w:startOverride w:val="1"/>
    </w:lvlOverride>
  </w:num>
  <w:num w:numId="78843">
    <w:abstractNumId w:val="999"/>
  </w:num>
  <w:num w:numId="79721">
    <w:abstractNumId w:val="999"/>
  </w:num>
  <w:num w:numId="96080">
    <w:abstractNumId w:val="999"/>
  </w:num>
  <w:num w:numId="76088">
    <w:abstractNumId w:val="999"/>
    <w:lvlOverride w:ilvl="0">
      <w:startOverride w:val="1"/>
    </w:lvlOverride>
  </w:num>
  <w:num w:numId="81424">
    <w:abstractNumId w:val="999"/>
  </w:num>
  <w:num w:numId="83169">
    <w:abstractNumId w:val="999"/>
  </w:num>
  <w:num w:numId="95762">
    <w:abstractNumId w:val="999"/>
  </w:num>
  <w:num w:numId="62428">
    <w:abstractNumId w:val="999"/>
    <w:lvlOverride w:ilvl="0">
      <w:startOverride w:val="1"/>
    </w:lvlOverride>
  </w:num>
  <w:num w:numId="67781">
    <w:abstractNumId w:val="999"/>
  </w:num>
  <w:num w:numId="70426">
    <w:abstractNumId w:val="999"/>
  </w:num>
  <w:num w:numId="67353">
    <w:abstractNumId w:val="999"/>
  </w:num>
  <w:num w:numId="82039">
    <w:abstractNumId w:val="999"/>
    <w:lvlOverride w:ilvl="0">
      <w:startOverride w:val="1"/>
    </w:lvlOverride>
  </w:num>
  <w:num w:numId="85644">
    <w:abstractNumId w:val="999"/>
  </w:num>
  <w:num w:numId="92857">
    <w:abstractNumId w:val="999"/>
  </w:num>
  <w:num w:numId="57333">
    <w:abstractNumId w:val="999"/>
    <w:lvlOverride w:ilvl="0">
      <w:startOverride w:val="1"/>
    </w:lvlOverride>
  </w:num>
  <w:num w:numId="61321">
    <w:abstractNumId w:val="999"/>
  </w:num>
  <w:num w:numId="64650">
    <w:abstractNumId w:val="999"/>
  </w:num>
  <w:num w:numId="76896">
    <w:abstractNumId w:val="999"/>
    <w:lvlOverride w:ilvl="0">
      <w:startOverride w:val="1"/>
    </w:lvlOverride>
  </w:num>
  <w:num w:numId="81581">
    <w:abstractNumId w:val="999"/>
  </w:num>
  <w:num w:numId="78455">
    <w:abstractNumId w:val="999"/>
  </w:num>
  <w:num w:numId="89504">
    <w:abstractNumId w:val="999"/>
  </w:num>
  <w:num w:numId="99733">
    <w:abstractNumId w:val="999"/>
    <w:lvlOverride w:ilvl="0">
      <w:startOverride w:val="1"/>
    </w:lvlOverride>
  </w:num>
  <w:num w:numId="18907">
    <w:abstractNumId w:val="999"/>
  </w:num>
  <w:num w:numId="18561">
    <w:abstractNumId w:val="999"/>
  </w:num>
  <w:num w:numId="30215">
    <w:abstractNumId w:val="999"/>
    <w:lvlOverride w:ilvl="0">
      <w:startOverride w:val="1"/>
    </w:lvlOverride>
  </w:num>
  <w:num w:numId="28314">
    <w:abstractNumId w:val="999"/>
  </w:num>
  <w:num w:numId="35730">
    <w:abstractNumId w:val="999"/>
  </w:num>
  <w:num w:numId="83499">
    <w:abstractNumId w:val="999"/>
    <w:lvlOverride w:ilvl="0">
      <w:startOverride w:val="1"/>
    </w:lvlOverride>
  </w:num>
  <w:num w:numId="92706">
    <w:abstractNumId w:val="999"/>
  </w:num>
  <w:num w:numId="12090">
    <w:abstractNumId w:val="999"/>
    <w:lvlOverride w:ilvl="0">
      <w:startOverride w:val="1"/>
    </w:lvlOverride>
  </w:num>
  <w:num w:numId="20165">
    <w:abstractNumId w:val="999"/>
  </w:num>
  <w:num w:numId="17319">
    <w:abstractNumId w:val="999"/>
    <w:lvlOverride w:ilvl="0">
      <w:startOverride w:val="1"/>
    </w:lvlOverride>
  </w:num>
  <w:num w:numId="97136">
    <w:abstractNumId w:val="999"/>
    <w:lvlOverride w:ilvl="0">
      <w:startOverride w:val="1"/>
    </w:lvlOverride>
  </w:num>
  <w:num w:numId="80909">
    <w:abstractNumId w:val="999"/>
    <w:lvlOverride w:ilvl="0">
      <w:startOverride w:val="1"/>
    </w:lvlOverride>
  </w:num>
  <w:num w:numId="40237">
    <w:abstractNumId w:val="999"/>
    <w:lvlOverride w:ilvl="0">
      <w:startOverride w:val="1"/>
    </w:lvlOverride>
  </w:num>
  <w:num w:numId="96894">
    <w:abstractNumId w:val="999"/>
    <w:lvlOverride w:ilvl="0">
      <w:startOverride w:val="1"/>
    </w:lvlOverride>
  </w:num>
  <w:num w:numId="62519">
    <w:abstractNumId w:val="999"/>
    <w:lvlOverride w:ilvl="0">
      <w:startOverride w:val="1"/>
    </w:lvlOverride>
  </w:num>
  <w:num w:numId="25915">
    <w:abstractNumId w:val="999"/>
    <w:lvlOverride w:ilvl="0">
      <w:startOverride w:val="1"/>
    </w:lvlOverride>
  </w:num>
  <w:num w:numId="86369">
    <w:abstractNumId w:val="999"/>
    <w:lvlOverride w:ilvl="0">
      <w:startOverride w:val="1"/>
    </w:lvlOverride>
  </w:num>
  <w:num w:numId="91237">
    <w:abstractNumId w:val="999"/>
  </w:num>
  <w:num w:numId="91325">
    <w:abstractNumId w:val="9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