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55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drawing>
                <wp:inline distT="0" distB="0" distL="0" distR="0">
                  <wp:extent cx="73342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Министерство науки и высшего образования Российской Федерации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Федеральное государственное автономное образовательное учреждение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высшего образования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имени Н.Э. Баумана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(национальный исследовательский университет)»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(МГТУ им. Н.Э. Баумана)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Информатика и системы управления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Компьютерные системы и сети (ИУ6)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 Информатика и вычислительная техника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БАКАЛАВРСКАЯ ПРОГРАММА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09.03.01/03 Вычислительные машины, комплексы, системы и сети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ОТЧЕТ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14</w:t>
      </w:r>
    </w:p>
    <w:p>
      <w:pPr>
        <w:pStyle w:val="TitleText"/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«Создание верификационного окружения для модуля mant_shifter»</w:t>
      </w:r>
    </w:p>
    <w:p>
      <w:pPr>
        <w:pStyle w:val="TitleText"/>
        <w:spacing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Организация ЭВМ и систем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группы ИУ6-72Б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С.Ю. Кондратов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А.Ю. Попов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______________</w:t>
      </w:r>
    </w:p>
    <w:p>
      <w:pPr>
        <w:pStyle w:val="TitleText"/>
        <w:spacing w:before="4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pPr>
        <w:keepNext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	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Тестируемое устройство	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Интерфейсы устройства	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Функциональность	4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Тестовое окружение	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Интерфейс окружения	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Обертка тестируемого устройства	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Агенты окружения	7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Транзакции и драйверы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Мониторы	9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Проверка окружения	10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Временная диаграмма базового теста	10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Результаты CI	10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	12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	13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создать на языке SystemVerilog [3] верификационное окружение для цифрового блока по индивидуальному варианту: интерфейс, обертку тестируемого устройства и агенты для всех его интерфейсов [1].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изучить спецификацию тестируемого устройства и его интерфейсов;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описать интерфейс окружения и обертку тестируемого устройства;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разработать транзакции, драйверы и мониторы агентов входного и выходного интерфейсов данных и подключить агенты к окружению;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добиться успешного прохождения CI первого этапа.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варианта 14: тестируемое устройство – модуль сдвига и округления мантисс чисел с плавающей точкой mant_shifter [2] с параметром MANT_W = 52, то есть с шириной мантиссы формата двойной точности IEEE 754 [4]. Работа выполнена в отдельной ветке iu6_72_kondratov репозитория курса, код этапа отправлен коммитом с меткой [ci phase 1].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оформлен по ГОСТ 7.32-2017 [6].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Тестируемое устройство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Интерфейсы устройства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mant_shifter имеет вход тактового сигнала, вход синхронного сброса и два потоковых интерфейса данных с сигналом валидности – входной и выходной (таблица 1). Ширина входа сдвига равна $clog2(MANT_W); при MANT_W = 52 это 6 бит, поэтому величина сдвига принимает значения от 0 до 63, в том числе большие ширины мантиссы.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порты модуля mant_shifter при MANT_W = 52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1650"/>
        <w:gridCol w:w="1200"/>
        <w:gridCol w:w="5005"/>
      </w:tblGrid>
      <w:tr>
        <w:trPr>
          <w:cantSplit/>
          <w:tblHeader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Направление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Ширина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тактовый сигнал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синхронный сброс, активный уровень 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in_mant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входная мантисса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in_shift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разрядов сдвига вправо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in_valid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валидности входных данных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out_mant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сдвинутая и округленная мантисса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out_valid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валидности выходных данных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интерфейса данных ведут себя как простейшие потоковые интерфейсы с сигнализацией [2]: входные in_mant и in_shift принимаются в такте, где in_valid = 1, а результат выставляется на out_mant вместе с out_valid = 1. Сигнала готовности нет, блок обязан принимать данные в каждом такте. Устройство конвейерное: результат появляется через два такта после входа.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Функциональность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выполняет сдвиг мантиссы вправо и округление результата – операцию, которая нужна при сложении чисел с плавающей точкой для выравнивания порядков [2, 4]. Перед сдвигом к мантиссе слева дописывается неявная единица, а справа – три дополнительных разряда: G (Guard), R (Round) и S (Sticky). Выпадающие при сдвиге биты попадают сначала в G, затем в R, а бит S равен логическому ИЛИ всех битов, выпавших правее R.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сдвига разряды G, R, S отбрасываются, а мантисса округляется к ближайшему значению [5]: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0 – округление вниз, результат не меняется;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1 и R = 1 или S = 1 – округление вверх, к результату прибавляется единица;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1, R = 0, S = 0 значение находится ровно посередине, и используется округление к четному: единица прибавляется только при единичном младшем бите результата.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14 отдельно рассматриваются крайние случаи. При нулевом сдвиге мантисса проходит без изменений: неявная единица в разрядную сетку не попадает, а G = R = S = 0. При сдвигах 53–63 мантисса уходит за разрядную сетку целиком, неявная единица оказывается в G (сдвиг 53), в R (сдвиг 54) или в S, и результат равен 0 или 1. Если после сдвига мантисса состоит из одних единиц и округляется вверх, перенос из старшего разряда теряется и результат обнуляется.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Тестовое окружение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Интерфейс окружения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env_if включает все сигналы, выходящие из модуля, сгруппированные по входному и выходному интерфейсам данных (листинг 1). Используется тип logic, так как интерфейс подключается непосредственно к портам устройства и должен отображать значения x и z.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файл env_if.sv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Company: Bauman Moscow State Technical University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Engineer: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Create date: 06/02/2025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Project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Module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Target Devices: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Tool Versions: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Description: DUT interface.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env_if ();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clk;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resetn;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Входной интерфейс. MANT_W = 52, ширина сдвига $clog2(52) = 6 бит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[51:0] in_mant;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[5:0]  in_shift;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in_valid;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Выходной интерфейс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[51:0] out_mant;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out_valid;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endinterface : env_if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Обертка тестируемого устройства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обертке tb_dut_wrapper объявлен модуль mant_shifter с параметром MANT_W = 52, его порты подключены к сигналам интерфейса (листинг 2). В Makefile переменной DUT присвоено имя mant_shifter.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файл tb_dut_wrapper.sv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Company: Bauman Moscow State Technical University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Engineer: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Create date: 11/02/2025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Project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Module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Target Devices: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Tool Versions: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Description: DUT wrapper.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module tb_dut_wrapper (env_if env_intf);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DUT по варианту: mant_shifter, MANT_W = 52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mant_shifter # (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.MANT_W(52)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mant_shifter_inst (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.clk      (env_intf.clk),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.resetn   (env_intf.resetn),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.in_mant  (env_intf.in_mant),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.in_shift (env_intf.in_shift),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.in_valid (env_intf.in_valid),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.out_mant (env_intf.out_mant),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.out_valid(env_intf.out_valid)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endmodule : tb_dut_wrapper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Агенты окружения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логически самостоятельного интерфейса устройства используется свой агент (таблица 2). Агенты тактового сигнала и сброса предоставлены в репозитории. Входной и выходной интерфейсы данных ведут себя одинаково, но имеют разный набор сигналов (на входе есть величина сдвига), поэтому для них созданы два разных агента: входной работает в активном режиме, выходной – в пассивном.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агенты тестового окружения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500"/>
        <w:gridCol w:w="2100"/>
        <w:gridCol w:w="3755"/>
      </w:tblGrid>
      <w:tr>
        <w:trPr>
          <w:cantSplit/>
          <w:tblHeader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Агент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Режим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Сигналы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генерация тактового сигнала с периодом 40 нс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выставление сброса и формирование транзакций начала и конца сброса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mant_in_agent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in_mant, in_shift, in_valid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подача входных мантисс и сбор входных транзакций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mant_out_agent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пассивный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out_mant, out_valid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сбор выходных транзакций устройства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агент собран из транзакции, драйвера и монитора и унаследован от базового класса env_base_agent, секвенсор используется базовый. Классы агента собраны в собственный пакет (mant_in_agent_pkg, mant_out_agent_pkg), пакеты подключены к env_pkg, а каталоги агентов добавлены в files_tb.mk. В классе env агенты создаются в методе build(), получают ссылку на событие stop_event, режим is_active и виртуальный интерфейс и запускаются в методе run().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Транзакции и драйверы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Транзакция mant_in_tran содержит рандомизируемые поля mant (52 бита) и shift (6 бит) и служебное поле back_to_back, которое не относится к данным, а подсказывает драйверу, как подать транзакцию. Транзакция mant_out_tran содержит одно поле mant – выходную мантиссу. В обеих транзакциях переопределены методы compare() (сравнение полей данных), copy() (копирование полей из другой транзакции того же класса) и print() (вывод полей в шестнадцатеричном виде).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Драйвер mant_in_driver в методе init_signals() обнуляет in_mant и in_shift и снимает in_valid, так что после сброса на входе нет валидных данных. Метод drive_tran() по переднему фронту выставляет мантиссу, сдвиг и in_valid = 1. Если поле back_to_back сброшено, драйвер ждет следующий фронт, на котором устройство принимает данные, и возвращает входы в исходное состояние – получается разреженный поток. Если поле установлено, in_valid не снимается и следующая транзакция выставляется уже на следующем такте – получается плотный поток, в котором данные идут каждый такт.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выходного интерфейса нет сигнала готовности, поэтому драйвер mant_out_driver ничего не выставляет: метод drive_passive() не переопределен, а drive_tran() только выводит предупреждение о том, что агент должен работать в пассивном режиме.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Мониторы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Мониторы работают по заднему фронту тактового сигнала, когда сигналы уже установились, и не конфликтуют с драйвером, который работает по переднему фронту. Монитор mant_in_monitor в методе check_validity() считает такт валидным при in_valid = 1, а метод monitor_tran() собирает in_mant и in_shift в транзакцию mant_in_tran и отправляет ее в mon2out_mbx. Монитор mant_out_monitor аналогично собирает out_mant при out_valid = 1. Внутренних переменных у мониторов нет, поэтому метод reset() не переопределен; во время сброса базовый класс монитора транзакции не собирает.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Проверка окружения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Временная диаграмма базового теста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скрипт add_signals.tcl добавлены сигналы интерфейса устройства: clk, resetn, in_mant, in_shift, in_valid, out_mant и out_valid. На рисунке 1 приведена временная диаграмма базового теста base_test, полученная моделированием окружения в Verilator [7] и снятая в GTKWave [8]. Агент тактового сигнала формирует clk с периодом 40 нс, агент сброса после нескольких тактов опускает resetn на пять тактов (с 220 до 420 нс), а драйвер входного агента в методе init_signals() держит in_valid = 0 и обнуляет шину данных. Валидных данных на входе нет, поэтому устройство не выставляет out_valid.</w:t>
      </w:r>
    </w:p>
    <w:p>
      <w:pPr>
        <w:pStyle w:val="Figure"/>
      </w:pPr>
      <w:r>
        <w:drawing>
          <wp:inline distT="0" distB="0" distL="0" distR="0">
            <wp:extent cx="5940425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временная диаграмма базового теста base_test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Результаты CI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этапа отправлен в ветку iu6_72_kondratov коммитом с меткой [ci phase 1]. Пайплайн завершился успешно: проверка файлов и компиляция прошли без ошибок, а базовый тест со встроенными проверками первого этапа завершился с результатом TEST PASSED (рисунок 2).</w:t>
      </w:r>
    </w:p>
    <w:p>
      <w:pPr>
        <w:pStyle w:val="Figure"/>
      </w:pPr>
      <w:r>
        <w:drawing>
          <wp:inline distT="0" distB="0" distL="0" distR="0">
            <wp:extent cx="53911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лог джобы build-phase-1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модуля сдвига и округления мантисс mant_shifter с MANT_W = 52 разработано верификационное окружение на SystemVerilog: интерфейс env_if, обертка tb_dut_wrapper, активный входной агент mant_in_agent и пассивный выходной агент mant_out_agent, которые работают вместе с предоставленными агентами тактового сигнала и сброса.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Драйвер входного агента формирует как разреженный, так и плотный поток данных, мониторы собирают транзакции по заднему фронту тактового сигнала и не конфликтуют с драйвером. Базовый тест подтверждает, что агенты собираются, запускаются и правильно работают с интерфейсом устройства, пайплайн CI первого этапа завершился успешно. Окружение готово к подключению эталонной модели и табло статистики на следующем этапе.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Лабораторные работы и ДЗ по верификации. Этапы № 1 – № 3: методические указания [Электронный ресурс] // Репозиторий verification_lab, МГТУ им. Н.Э. Баумана, кафедра ИУ6.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Спецификация модуля сдвига и округления мантисс чисел с плавающей точкой mant_shifter [Электронный ресурс] // Репозиторий verification_lab.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IEEE Std 1800-2017. IEEE Standard for SystemVerilog – Unified Hardware Design, Specification, and Verification Language. – New York: IEEE, 2018. – 1315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IEEE Std 754-2019. IEEE Standard for Floating-Point Arithmetic. – New York: IEEE, 2019. – 84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Floating-point numbers and rounding [Электронный ресурс]. – URL: https://drilian.com/posts/2023.01.10-floating-point-numbers-and-rounding/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 – 27 с.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Verilator [Электронный ресурс]. – URL: https://verilator.org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GTKWave [Электронный ресурс] : программа просмотра временных диаграмм. – URL: https://gtkwave.sourceforge.net (дата обращения: 26.10.2026).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AfterTable">
    <w:name w:val="Заголовок 2 после таблицы"/>
    <w:basedOn w:val="Heading2"/>
    <w:next w:val="Normal"/>
    <w:pPr>
      <w:keepNext/>
      <w:spacing w:after="0" w:before="12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AfterTable">
    <w:name w:val="Текст после таблицы"/>
    <w:basedOn w:val="Normal"/>
    <w:next w:val="Normal"/>
    <w:pPr>
      <w:spacing w:after="0" w:before="120" w:line="360" w:lineRule="auto"/>
    </w:pPr>
  </w:style>
  <w:style w:type="paragraph" w:styleId="TableCaption">
    <w:name w:val="Подпись таблицы"/>
    <w:basedOn w:val="Normal"/>
    <w:next w:val="Normal"/>
    <w:pPr>
      <w:keepNext/>
      <w:keepLines/>
      <w:spacing w:after="0" w:before="0" w:line="360" w:lineRule="auto"/>
      <w:jc w:val="left"/>
    </w:pPr>
  </w:style>
  <w:style w:type="paragraph" w:styleId="Figure">
    <w:name w:val="Рисунок"/>
    <w:basedOn w:val="Normal"/>
    <w:next w:val="FigureCaption"/>
    <w:pPr>
      <w:keepNext/>
      <w:spacing w:after="0" w:before="0" w:line="240" w:lineRule="auto"/>
      <w:jc w:val="center"/>
    </w:pPr>
  </w:style>
  <w:style w:type="paragraph" w:styleId="FigureCaption">
    <w:name w:val="Подпись рисунка"/>
    <w:basedOn w:val="Normal"/>
    <w:next w:val="Normal"/>
    <w:pPr>
      <w:keepLines/>
      <w:spacing w:after="0" w:before="0" w:line="360" w:lineRule="auto"/>
      <w:jc w:val="center"/>
    </w:pPr>
  </w:style>
  <w:style w:type="paragraph" w:styleId="TableText">
    <w:name w:val="Текст в таблице"/>
    <w:basedOn w:val="Normal"/>
    <w:pPr>
      <w:spacing w:after="0" w:before="0" w:line="240" w:lineRule="auto"/>
    </w:pPr>
    <w:rPr>
      <w:sz w:val="24"/>
      <w:szCs w:val="24"/>
    </w:rPr>
  </w:style>
  <w:style w:type="paragraph" w:styleId="Code">
    <w:name w:val="Листинг"/>
    <w:basedOn w:val="Normal"/>
    <w:pPr>
      <w:spacing w:after="0" w:before="0" w:line="240" w:lineRule="auto"/>
      <w:ind w:left="360" w:hanging="360"/>
      <w:jc w:val="left"/>
    </w:pPr>
    <w:rPr>
      <w:rFonts w:ascii="Courier New" w:cs="Courier New" w:eastAsia="Courier New" w:hAnsi="Courier New"/>
      <w:sz w:val="20"/>
      <w:szCs w:val="20"/>
    </w:rPr>
  </w:style>
  <w:style w:type="paragraph" w:styleId="TocLine">
    <w:name w:val="Строка содержания"/>
    <w:basedOn w:val="Normal"/>
    <w:pPr>
      <w:spacing w:after="0" w:before="0" w:line="360" w:lineRule="auto"/>
      <w:jc w:val="left"/>
    </w:pPr>
  </w:style>
  <w:style w:type="paragraph" w:styleId="TitleText">
    <w:name w:val="Текст титула"/>
    <w:basedOn w:val="Normal"/>
    <w:pPr>
      <w:spacing w:after="0" w:before="0" w:line="240" w:lineRule="auto"/>
    </w:pPr>
  </w:style>
  <w:style w:type="paragraph" w:styleId="Source">
    <w:name w:val="Источник"/>
    <w:basedOn w:val="Normal"/>
    <w:pPr>
      <w:spacing w:after="0" w:before="0" w:line="360" w:lineRule="auto"/>
      <w:ind w:firstLine="709"/>
      <w:jc w:val="both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37bdca6e75502bcba1e11f8005b433f5139f378f.png"/><Relationship Id="rId10" Type="http://schemas.openxmlformats.org/officeDocument/2006/relationships/image" Target="media/45413ea45c73070887939113aa4c61346bd7f6ce.png"/><Relationship Id="rId11" Type="http://schemas.openxmlformats.org/officeDocument/2006/relationships/image" Target="media/4239b34051bb852fe70e299cc2251c6fa06d13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2. Создание верификационного окружения для модуля mant_shifter</dc:title>
  <dc:creator>С.Ю. Кондратов</dc:creator>
  <cp:lastModifiedBy>Un-named</cp:lastModifiedBy>
  <cp:revision>1</cp:revision>
  <dcterms:created xsi:type="dcterms:W3CDTF">2026-10-27T10:29:53.239Z</dcterms:created>
  <dcterms:modified xsi:type="dcterms:W3CDTF">2026-10-27T10:29:53.240Z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