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055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drawing>
                <wp:inline distT="0" distB="0" distL="0" distR="0">
                  <wp:extent cx="73342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Министерство науки и высшего образования Российской Федерации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Федеральное государственное автономное образовательное учреждение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высшего образования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имени Н.Э. Баумана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(национальный исследовательский университет)»</w:t>
            </w:r>
          </w:p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(МГТУ им. Н.Э. Баумана)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Информатика и системы управления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Компьютерные системы и сети (ИУ6)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 Информатика и вычислительная техника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БАКАЛАВРСКАЯ ПРОГРАММА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09.03.01/03 Вычислительные машины, комплексы, системы и сети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ОТЧЕТ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</w:t>
      </w:r>
    </w:p>
    <w:p>
      <w:pPr>
        <w:pStyle w:val="TitleTex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</w:t>
      </w: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14</w:t>
      </w:r>
    </w:p>
    <w:p>
      <w:pPr>
        <w:pStyle w:val="TitleText"/>
        <w:spacing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«Верификация модуля сдвига и округления мантиссы mant_shifter»</w:t>
      </w:r>
    </w:p>
    <w:p>
      <w:pPr>
        <w:pStyle w:val="TitleText"/>
        <w:spacing w:before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______________________________</w:t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группы ИУ6-72Б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С.Ю. Кондратов</w:t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100"/>
        <w:gridCol w:w="2700"/>
        <w:gridCol w:w="2555"/>
      </w:tblGrid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left"/>
            </w:pP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Подпись, дата</w:t>
            </w:r>
          </w:p>
        </w:tc>
        <w:tc>
          <w:tcPr>
            <w:tcW w:type="dxa" w:w="25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TitleText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(И.О. Фамилия)</w:t>
            </w:r>
          </w:p>
        </w:tc>
      </w:tr>
    </w:tbl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TitleText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______________</w:t>
      </w:r>
    </w:p>
    <w:p>
      <w:pPr>
        <w:pStyle w:val="TitleText"/>
        <w:spacing w:before="47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pPr>
        <w:keepNext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	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Тестируемое устройство	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Интерфейсы устройства	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Функциональность	4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Тестовое окружение	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Интерфейс окружения	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Обертка тестируемого устройства	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Агенты окружения	7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Транзакции и драйверы	8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Мониторы	9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Эталонная модель и табло статистики	10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Проверяемые характеристики	10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Эталонная модель	11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3.3 Табло статистики	12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 Схема тестового окружения	13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Последовательности и тесты	14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Тестовые сценарии	14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Рандомизация транзакций	14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Последовательности	15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 Регрессия	16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 Оценка правильности работы устройства	16</w:t>
      </w:r>
    </w:p>
    <w:p>
      <w:pPr>
        <w:pStyle w:val="TocLine"/>
        <w:tabs>
          <w:tab w:val="right" w:pos="9355" w:leader="dot"/>
        </w:tabs>
        <w:ind w:left="5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4.6 Результаты CI	19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	23</w:t>
      </w:r>
    </w:p>
    <w:p>
      <w:pPr>
        <w:pStyle w:val="TocLine"/>
        <w:tabs>
          <w:tab w:val="right" w:pos="9355" w:leader="dot"/>
        </w:tabs>
        <w:ind w:left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	24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разработать на языке SystemVerilog [3] верификационное окружение для цифрового блока по индивидуальному варианту, дополнить его эталонной моделью, последовательностями и тестами и подтвердить правильность работы блока регрессионным тестированием с полным функциональным покрытием [1].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 работы: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изучить спецификацию тестируемого устройства и его интерфейсов, создать интерфейс SystemVerilog, обертку устройства и агенты окружения (этап 1);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составить список проверяемых характеристик, разработать эталонную модель и подключить ее вместе с табло статистики к окружению (этап 2);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разработать тестовые сценарии, рандомизацию транзакций, последовательности и тесты, собрать регрессию и добиться успешного прохождения CI с полным функциональным и не менее 95 % кодовым покрытием (этап 3).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варианта 14: тестируемое устройство – модуль сдвига и округления мантисс чисел с плавающей точкой mant_shifter [2] с параметром MANT_W = 52, то есть с шириной мантиссы формата двойной точности IEEE 754 [4]. Вся работа выполнена в отдельной ветке iu6_72_kondratov репозитория курса, код каждого этапа отправлен отдельным коммитом с меткой [ci phase N].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 оформлен по ГОСТ 7.32-2017 [6].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Тестируемое устройство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Интерфейсы устройства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mant_shifter имеет вход тактового сигнала, вход синхронного сброса и два потоковых интерфейса данных с сигналом валидности – входной и выходной (таблица 1). Ширина входа сдвига равна $clog2(MANT_W); при MANT_W = 52 это 6 бит, поэтому величина сдвига принимает значения от 0 до 63, в том числе большие ширины мантиссы.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порты модуля mant_shifter при MANT_W = 52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00"/>
        <w:gridCol w:w="1650"/>
        <w:gridCol w:w="1200"/>
        <w:gridCol w:w="5005"/>
      </w:tblGrid>
      <w:tr>
        <w:trPr>
          <w:cantSplit/>
          <w:tblHeader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Направление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Ширина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тактовый сигнал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синхронный сброс, активный уровень 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in_mant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входная мантисса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in_shift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разрядов сдвига вправо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in_valid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валидности входных данных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out_mant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сдвинутая и округленная мантисса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out_valid</w:t>
            </w:r>
          </w:p>
        </w:tc>
        <w:tc>
          <w:tcPr>
            <w:tcW w:type="dxa" w:w="16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</w:t>
            </w:r>
          </w:p>
        </w:tc>
        <w:tc>
          <w:tcPr>
            <w:tcW w:type="dxa" w:w="1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500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 валидности выходных данных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интерфейса данных ведут себя как простейшие потоковые интерфейсы с сигнализацией [2]: входные in_mant и in_shift принимаются в такте, где in_valid = 1, а результат выставляется на out_mant вместе с out_valid = 1. Сигнала готовности нет, блок обязан принимать данные в каждом такте. Устройство конвейерное: результат появляется через два такта после входа.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Функциональность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 выполняет сдвиг мантиссы вправо и округление результата – операцию, которая нужна при сложении чисел с плавающей точкой для выравнивания порядков [2, 4]. Перед сдвигом к мантиссе слева дописывается неявная единица, а справа – три дополнительных разряда: G (Guard), R (Round) и S (Sticky). Выпадающие при сдвиге биты попадают сначала в G, затем в R, а бит S равен логическому ИЛИ всех битов, выпавших правее R.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сдвига разряды G, R, S отбрасываются, а мантисса округляется к ближайшему значению [5]: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0 – округление вниз, результат не меняется;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1 и R = 1 или S = 1 – округление вверх, к результату прибавляется единица;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 при G = 1, R = 0, S = 0 значение находится ровно посередине, и используется округление к четному: единица прибавляется только при единичном младшем бите результата.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14 отдельно рассматриваются крайние случаи. При нулевом сдвиге мантисса проходит без изменений: неявная единица в разрядную сетку не попадает, а G = R = S = 0. При сдвигах 53–63 мантисса уходит за разрядную сетку целиком, неявная единица оказывается в G (сдвиг 53), в R (сдвиг 54) или в S, и результат равен 0 или 1. Если после сдвига мантисса состоит из одних единиц и округляется вверх, перенос из старшего разряда теряется и результат обнуляется.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Тестовое окружение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Интерфейс окружения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Интерфейс env_if включает все сигналы, выходящие из модуля, сгруппированные по входному и выходному интерфейсам данных (листинг 1). Используется тип logic, так как интерфейс подключается непосредственно к портам устройства и должен отображать значения x и z.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файл env_if.sv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Company: Bauman Moscow State Technical University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Engineer: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Create date: 06/02/2025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Project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Module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Target Devices: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Tool Versions: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Description: DUT interface.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env_if ();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clk;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resetn;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Входной интерфейс. MANT_W = 52, ширина сдвига $clog2(52) = 6 бит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[51:0] in_mant;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[5:0]  in_shift;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in_valid;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Выходной интерфейс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[51:0] out_mant;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logic        out_valid;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endinterface : env_if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Обертка тестируемого устройства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обертке tb_dut_wrapper объявлен модуль mant_shifter с параметром MANT_W = 52, его порты подключены к сигналам интерфейса (листинг 2). В Makefile переменной DUT присвоено имя mant_shifter.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файл tb_dut_wrapper.sv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Company: Bauman Moscow State Technical University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Engineer: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Create date: 11/02/2025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Project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Module Name: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Target Devices: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Tool Versions: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Description: DUT wrapper.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//////////////////////////////////////////////////////////////////////////////////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module tb_dut_wrapper (env_if env_intf);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DUT по варианту: mant_shifter, MANT_W = 52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mant_shifter # (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.MANT_W(52)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mant_shifter_inst (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.clk      (env_intf.clk),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.resetn   (env_intf.resetn),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.in_mant  (env_intf.in_mant),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.in_shift (env_intf.in_shift),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.in_valid (env_intf.in_valid),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.out_mant (env_intf.out_mant),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.out_valid(env_intf.out_valid)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endmodule : tb_dut_wrapper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Агенты окружения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логически самостоятельного интерфейса устройства используется свой агент (таблица 2). Агенты тактового сигнала и сброса предоставлены в репозитории. Входной и выходной интерфейсы данных ведут себя одинаково, но имеют разный набор сигналов (на входе есть величина сдвига), поэтому для них созданы два разных агента: входной работает в активном режиме, выходной – в пассивном.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агенты тестового окружения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000"/>
        <w:gridCol w:w="1500"/>
        <w:gridCol w:w="2100"/>
        <w:gridCol w:w="3755"/>
      </w:tblGrid>
      <w:tr>
        <w:trPr>
          <w:cantSplit/>
          <w:tblHeader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Агент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Режим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Сигналы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clk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генерация тактового сигнала с периодом 40 нс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resetn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выставление сброса и формирование транзакций начала и конца сброса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mant_in_agent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in_mant, in_shift, in_valid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подача входных мантисс и сбор входных транзакций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mant_out_agent</w:t>
            </w:r>
          </w:p>
        </w:tc>
        <w:tc>
          <w:tcPr>
            <w:tcW w:type="dxa" w:w="1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пассивный</w:t>
            </w:r>
          </w:p>
        </w:tc>
        <w:tc>
          <w:tcPr>
            <w:tcW w:type="dxa" w:w="21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out_mant, out_valid</w:t>
            </w:r>
          </w:p>
        </w:tc>
        <w:tc>
          <w:tcPr>
            <w:tcW w:type="dxa" w:w="37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сбор выходных транзакций устройства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Каждый агент собран из транзакции, драйвера и монитора и унаследован от базового класса env_base_agent, секвенсор используется базовый. Классы агента собраны в собственный пакет (mant_in_agent_pkg, mant_out_agent_pkg), пакеты подключены к env_pkg, а каталоги агентов добавлены в files_tb.mk. В классе env агенты создаются в методе build(), получают ссылку на событие stop_event, режим is_active и виртуальный интерфейс и запускаются в методе run().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Транзакции и драйверы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Транзакция mant_in_tran содержит рандомизируемые поля mant (52 бита) и shift (6 бит) и служебное поле back_to_back, которое не относится к данным, а подсказывает драйверу, как подать транзакцию. Транзакция mant_out_tran содержит одно поле mant – выходную мантиссу. В обеих транзакциях переопределены методы compare() (сравнение полей данных), copy() (копирование полей из другой транзакции того же класса) и print() (вывод полей в шестнадцатеричном виде).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Драйвер mant_in_driver в методе init_signals() обнуляет in_mant и in_shift и снимает in_valid, так что после сброса на входе нет валидных данных. Метод drive_tran() по переднему фронту выставляет мантиссу, сдвиг и in_valid = 1. Если поле back_to_back сброшено, драйвер ждет следующий фронт, на котором устройство принимает данные, и возвращает входы в исходное состояние – получается разреженный поток. Если поле установлено, in_valid не снимается и следующая транзакция выставляется уже на следующем такте – получается плотный поток, в котором данные идут каждый такт.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выходного интерфейса нет сигнала готовности, поэтому драйвер mant_out_driver ничего не выставляет: метод drive_passive() не переопределен, а drive_tran() только выводит предупреждение о том, что агент должен работать в пассивном режиме.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Мониторы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Мониторы работают по заднему фронту тактового сигнала, когда сигналы уже установились, и не конфликтуют с драйвером, который работает по переднему фронту. Монитор mant_in_monitor в методе check_validity() считает такт валидным при in_valid = 1, а метод monitor_tran() собирает in_mant и in_shift в транзакцию mant_in_tran и отправляет ее в mon2out_mbx. Монитор mant_out_monitor аналогично собирает out_mant при out_valid = 1. Внутренних переменных у мониторов нет, поэтому метод reset() не переопределен; во время сброса базовый класс монитора транзакции не собирает.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Эталонная модель и табло статистики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Проверяемые характеристики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разделам спецификации «поведение интерфейсов» и «функциональность» [2] составлен список проверяемых характеристик (таблицы 3 и 4), он же занесен в план верификации.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проверяемые характеристики интерфейсов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900"/>
        <w:gridCol w:w="3000"/>
        <w:gridCol w:w="3000"/>
        <w:gridCol w:w="1455"/>
      </w:tblGrid>
      <w:tr>
        <w:trPr>
          <w:cantSplit/>
          <w:tblHeader/>
        </w:trPr>
        <w:tc>
          <w:tcPr>
            <w:tcW w:type="dxa" w:w="19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Интерфейс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Предмет проверки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 проверки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Важность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Тактовый сигнал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переключение блока по фронту clk, отсутствие «залипаний»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Сброс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синхронный сброс по resetn = 0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нет выходных транзакций во время сброса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сброс во время работы: данные в конвейере теряются, после сброса блок работает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эталонная модель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важн.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Входной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прием данных только при in_valid = 1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эталонная модель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прием каждый такт и с паузами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модель, функциональное покрытие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restart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Выходной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выдача out_mant вместе с out_valid через 2 такта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временная диаграмма, эталонная модель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1900"/>
            <w:vMerge w:val="continue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 out_valid без входных данных</w:t>
            </w:r>
          </w:p>
        </w:tc>
        <w:tc>
          <w:tcPr>
            <w:tcW w:type="dxa" w:w="30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эталонная модель (нет лишних транзакций)</w:t>
            </w:r>
          </w:p>
        </w:tc>
        <w:tc>
          <w:tcPr>
            <w:tcW w:type="dxa" w:w="1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</w:tbl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проверяемые функции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500"/>
        <w:gridCol w:w="5455"/>
        <w:gridCol w:w="1400"/>
      </w:tblGrid>
      <w:tr>
        <w:trPr>
          <w:cantSplit/>
          <w:tblHeader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Предмет проверки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Важность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вправо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мантисса с неявной единицей сдвигается на in_shift разрядов при сдвигах 1–52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Нулевой сдвиг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мантисса проходит без изменений, неявная единица в результат не попадает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важн.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больше ширины мантиссы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 сдвигах 53–63 результат 0 или 1 в зависимости от G, R, S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важн.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вниз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= 0: результат не меняется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вверх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= 1 и R = 1 или S = 1: к результату прибавляется 1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к четному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 = 1, R = 0, S = 0: единица прибавляется только при младшем бите 1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Формирование бита S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 = 1, если выпала хотя бы одна единица правее R, при любом сдвиге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Переполнение при округлении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единицы после сдвига и округление вверх дают 0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средне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Конвейерная работа</w:t>
            </w:r>
          </w:p>
        </w:tc>
        <w:tc>
          <w:tcPr>
            <w:tcW w:type="dxa" w:w="54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данные, поданные каждый такт, обрабатываются без потерь и по порядку</w:t>
            </w:r>
          </w:p>
        </w:tc>
        <w:tc>
          <w:tcPr>
            <w:tcW w:type="dxa" w:w="14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крит.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Эталонная модель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Эталонная модель mant_shifter_ref унаследована от env_base_ref с параметром resetn_transaction. У нее два входных порта – in_mbx (транзакции входного агента) и rst_mbx (транзакции агента сброса, порт базового класса) – и один выходной порт out_mbx, который создается в конструкторе. Входные порты подключаются к mon2out_mbx агентов в методе connect() окружения.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вычисляется функцией shift_round() по правилам спецификации, а не повторением схемы устройства (листинг 3). В RTL к мантиссе дописываются 63 нулевых разряда, и S получается как ИЛИ их хвоста, а модель явно выделяет G, R и S из выпавших битов. Совпадение двух независимых реализаций повышает доверие к результату проверки. Сдвиг копируется в знаковую переменную sh: при беззнаковом сдвиге выражение sh − 2 для сдвига 1 переполнялось бы и давало неверный S.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функция shift_round() эталонной модели (файл mant_shifter_ref.sv)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function bit [51:0] mant_shifter_ref::shift_round(bit [51:0] mant, bit [5:0] shift);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bit [52:0] full;   // мантисса с неявной единицей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bit [51:0] res;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bit        g, r, s;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int        sh;     // знаковая копия сдвига, иначе sh - 2 при сдвиге 1 уйдет в огромное число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full = {1'b1, mant};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sh   = shift;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При сдвиге 0 мантисса не меняется: неявная единица в разрядную сетку не попадает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res = full &gt;&gt; sh;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Выпавшие биты: G - первый, R - второй, S - ИЛИ всех остальных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 = 0;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 = 0;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 = 0;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for (int i = 0; i &lt;= 52; i++) begin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(i == sh - 1)      g = full[i];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else if (i == sh - 2) r = full[i];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else if (i &lt; sh - 2)  s |= full[i];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end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Округление к ближайшему, ровно посередине - к четному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if (g &amp;&amp; (r || s || res[0]))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res++;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return res;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endfunction : shift_round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Основной цикл main_loop() берет транзакцию из in_mbx, пропускает ее при активном сбросе и вычисляет результат. Поскольку устройство конвейерное и следующая транзакция может прийти, пока предыдущая еще в конвейере, отправка результата запускается отдельным потоком (fork … join_none) задачей send_out() (листинг 4). Задача ждет два такта – задержку устройства – и выбрасывает результат, если за это время resetn опустился: сброс очищает конвейер устройства, и этого результата на выходе не будет. Для отсчета тактов модели передан виртуальный интерфейс, через который она ничего не выставляет. Внутреннего состояния у модели нет, поэтому метод process_reset() пустой.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задача send_out() эталонной модели (файл mant_shifter_ref.sv)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 mant_shifter_ref::send_out(mant_out_tran out_tran);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Вход монитор видит по negedge, результат на выходе появляется через 2 такта.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Если за эти 2 такта resetn упал, DUT очистил конвейер и результата не будет.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Смотрим прямо на resetn: на negedge он стабилен, а флаг reset может выставиться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// в этот же момент и мы его не увидим.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repeat (2) begin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 (negedge vif.clk);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(!vif.resetn) return;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end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out_mbx.put(out_tran);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endtask : send_out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Такой подход выбран после проверки базового табло статистики: ожидание новых элементов в нем фактически срабатывает только в конце теста, поэтому очищать выходную очередь модели при сбросе нельзя – вместе с потерянными результатами были бы выброшены и результаты, уже собранные с выхода устройства, но еще не сравненные.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Табло статистики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окружению подключен базовый класс env_scoreboard с параметром mant_out_tran. Порт dut_mbx подключен к монитору выходного агента, порт ref_mbx – к выходу эталонной модели. Табло сравнивает транзакции попарно методом compare(), а метод check() выводит статистику: число транзакций, сравнений, ошибок сравнения и «сирот» – транзакций без пары. Тест считается пройденным, если ошибок и сирот нет; метод check() класса base_test возвращает результат env0.scb.check().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Схема тестового окружения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Итоговая схема окружения приведена на рисунке 1. Агенты тактового сигнала и сброса и входной агент связаны с интерфейсом в обе стороны: драйвер выставляет сигналы, монитор их же считывает. Выходной агент только считывает сигналы. Транзакции между компонентами передаются через mailbox в одну сторону.</w:t>
      </w:r>
    </w:p>
    <w:p>
      <w:pPr>
        <w:pStyle w:val="Figure"/>
      </w:pPr>
      <w:r>
        <w:drawing>
          <wp:inline distT="0" distB="0" distL="0" distR="0">
            <wp:extent cx="5940425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схема тестового окружения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Последовательности и тесты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Тестовые сценарии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тестов составлен так, чтобы покрыть все функции и характеристики из таблиц 3 и 4 (таблица 5). Каждый тест унаследован от base_test, зарегистрирован в фабрике макросом factory_register и переопределяет метод run_main(); все тесты, кроме базового, начинают с паузы в 10 тактов после первичного сброса.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тестовые сценарии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00"/>
        <w:gridCol w:w="3500"/>
        <w:gridCol w:w="4555"/>
      </w:tblGrid>
      <w:tr>
        <w:trPr>
          <w:cantSplit/>
          <w:tblHeader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Тест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проверяет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Ход действий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base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сборку окружения, тактовый сигнал и первичный сброс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запуск тактового сигнала и сброса, ожидание 100 тактов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на все значения 0–63, округление вверх и вниз, разреженный поток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для каждого сдвига 0–63 – от 4 до 8 случайных мантисс с паузами, затем 5–10 тактов ожидания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round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случаи округления, бит S, переполнение, сдвиги 0, 53, 63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раз подряд – по одной транзакции на каждый из 10 крайних случаев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stream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конвейерную работу, плотный и разреженный потоки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раз – пачка из 10–50 транзакций каждый такт, затем 10–50 транзакций с паузами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reset</w:t>
            </w:r>
          </w:p>
        </w:tc>
        <w:tc>
          <w:tcPr>
            <w:tcW w:type="dxa" w:w="3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горячий сброс и работу после него</w:t>
            </w:r>
          </w:p>
        </w:tc>
        <w:tc>
          <w:tcPr>
            <w:tcW w:type="dxa" w:w="45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раза – плотный поток из 20–30 транзакций одновременно со сбросом, затем такой же поток после сброса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Рандомизация транзакций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транзакции mant_in_tran рандомизируются поля данных mant и shift. Мантисса не ограничивается: при сдвиге на входе допустимо любое из 2^52 значений, а случайные биты дают оба исхода округления и переключают все разряды устройства. Поле shift покрывает весь диапазон 0–63, но значимые для устройства области неравновероятны: нулевой сдвиг – одно значение, сдвиг больше ширины мантиссы – 11 значений. Поэтому для shift задано весовое ограничение (листинг 5).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ограничение на величину сдвига (файл mant_in_tran.sv)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dxa" w:w="93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constraint shift_ctr {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shift dist {0 :/ 1, [1:52] :/ 8, [53:63] :/ 1};</w:t>
            </w:r>
          </w:p>
          <w:p>
            <w:pPr>
              <w:pStyle w:val="Code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:/ делит вес на весь диапазон, поэтому три области – без сдвига, сдвиг внутри мантиссы и сдвиг за ее пределы – выпадают в соотношении 1 : 8 : 1 независимо от числа значений в каждой. Ограничение не конфликтует с дополнительными inline-ограничениями последовательностей, так как охватывает все значения поля. Поле back_to_back не рандомизируется – его задает последовательность.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Последовательности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Последовательность mant_seq формирует пачку случайных транзакций. Ее настройки: границы числа транзакций min_tran_num и max_tran_num, диапазон сдвига min_shift…max_shift и режим back_to_back. Число транзакций tran_num рандомизируется перед запуском в заданных границах, а каждая транзакция рандомизируется конструкцией randomize() with с ограничением shift inside {[min_shift:max_shift]}. В режиме back_to_back флаг ставится всем транзакциям, кроме последней, чтобы после пачки сигнал in_valid обязательно снимался. Одна гибкая последовательность используется во всех тестах с потоком данных: тест сдвига фиксирует диапазон сдвига, а тесты потока и сброса включают плотный режим.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Последовательность mant_round_seq отправляет по одной транзакции на каждый из 10 крайних случаев округления. Случай задается inline-ограничением только на значимые биты, остальные биты мантиссы остаются случайными. Для сдвига 5 разряд G – это mant[4], R – mant[3], S – ИЛИ mant[2:0], а младший бит результата – mant[5], поэтому, например, округление к четному при младшем бите 1 задается ограничением mant[5:0] == 6'b110000. Кроме того, проверяются переполнение (все единицы, сдвиг 1), нулевой сдвиг, сдвиг 53 с нулевой и ненулевой мантиссой и максимальный сдвиг 63.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Виртуальные последовательности не понадобились: сценарии тестов сводятся к последовательному или параллельному запуску обычных последовательностей прямо из run_main(). В тесте сброса последовательность данных и последовательность сброса запускаются параллельно в блоке fork … join, без обращения к виртуальному интерфейсу.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Регрессия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тесты включены в пакет test_pkg и добавлены в список REGRESSION_TESTS в Makefile: base, shift, round, stream, reset. По команде make regression они запускаются по очереди, затем выводится статистика и объединяется база покрытия. В скрипт add_signals.tcl добавлены сигналы in_mant, in_shift, in_valid, out_mant и out_valid для просмотра временных диаграмм в графическом режиме.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Оценка правильности работы устройства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out_mant для всех функций из таблицы 4 проверяются эталонной моделью: во всех тестах регрессии ошибок сравнения и сирот нет. Поведение интерфейсов проверено по временным диаграммам, полученным моделированием окружения в Verilator [7] и снятым в GTKWave [8]. Кроме сигналов из add_signals.tcl, на них выведены сигналы первой стадии конвейера устройства: stage1_valid, stage1_mant, stage1_G, stage1_R, stage1_S и round_up.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2 показан разреженный поток в тесте shift при нулевом сдвиге: каждая транзакция держит in_valid один такт, между транзакциями пауза в один такт. Результат выставляется с out_valid через два такта и совпадает со входной мантиссой, что подтверждает и нулевой сдвиг без неявной единицы, и задержку конвейера.</w:t>
      </w:r>
    </w:p>
    <w:p>
      <w:pPr>
        <w:pStyle w:val="Figure"/>
      </w:pPr>
      <w:r>
        <w:drawing>
          <wp:inline distT="0" distB="0" distL="0" distR="0">
            <wp:extent cx="5940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разреженный поток и нулевой сдвиг (тест shift)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3 показан плотный поток в тесте stream: in_valid не снимается, и новые данные поступают каждый такт. Через два такта out_valid устанавливается и держится, результаты идут подряд без пропусков. Например, мантисса 69D9613B464F1 со сдвигом 7 дает 02D3B2C2768CA: на первой стадии конвейера G = 1, R = 1, S = 1, поэтому round_up = 1 и результат округлен вверх.</w:t>
      </w:r>
    </w:p>
    <w:p>
      <w:pPr>
        <w:pStyle w:val="Figure"/>
      </w:pPr>
      <w:r>
        <w:drawing>
          <wp:inline distT="0" distB="0" distL="0" distR="0">
            <wp:extent cx="5940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плотный поток (тест stream)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рисунке 4 показан горячий сброс в тесте reset. Сигнал resetn опускается посреди плотного потока, и уже на следующем фронте out_valid снимается: транзакции, находившиеся в конвейере, теряются. Входные данные, которые драйвер еще выставляет в первые такты сброса, устройство игнорирует, а во время сброса выходных транзакций нет. Эталонная модель предсказывает эти потери, поэтому табло статистики не находит ни ошибок, ни сирот.</w:t>
      </w:r>
    </w:p>
    <w:p>
      <w:pPr>
        <w:pStyle w:val="Figure"/>
      </w:pPr>
      <w:r>
        <w:drawing>
          <wp:inline distT="0" distB="0" distL="0" distR="0">
            <wp:extent cx="5940425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сброс во время плотного потока (тест reset)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первого прохода теста round по всем крайним случаям округления приведены в таблице 6. Ожидаемое значение рассчитано по правилам спецификации, полученное взято с выхода устройства; во всех 50 транзакциях теста они совпали.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крайние случаи округления (тест round)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50"/>
        <w:gridCol w:w="1890"/>
        <w:gridCol w:w="850"/>
        <w:gridCol w:w="800"/>
        <w:gridCol w:w="1980"/>
        <w:gridCol w:w="1985"/>
      </w:tblGrid>
      <w:tr>
        <w:trPr>
          <w:cantSplit/>
          <w:tblHeader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Случай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in_mant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Сдвиг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GRS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Ожидаемый</w:t>
            </w:r>
          </w:p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out_mant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Полученный</w:t>
            </w:r>
          </w:p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out_mant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вниз (G = 0)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FBE68B8B35B2B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011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0FDF345C59AD9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0FDF345C59AD9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вверх по R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E6161215CE9FA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0F30B090AE750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0F30B090AE750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вверх по S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CFBADD66D4FF5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0E7DD6EB36A80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0E7DD6EB36A80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 четному, LSB = 0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64C38786C41D0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0B261C3C3620E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0B261C3C3620E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 четному, LSB = 1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5DF0AFDC160B0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0AEF857EE0B06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0AEF857EE0B06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переполнение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нулевой сдвиг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FFFFFFFFFFFFF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53, ровно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53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53, вверх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CFDE4A6272F8D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53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0000000000001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0000000000001</w:t>
            </w:r>
          </w:p>
        </w:tc>
      </w:tr>
      <w:tr>
        <w:trPr>
          <w:cantSplit/>
        </w:trPr>
        <w:tc>
          <w:tcPr>
            <w:tcW w:type="dxa" w:w="1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63</w:t>
            </w:r>
          </w:p>
        </w:tc>
        <w:tc>
          <w:tcPr>
            <w:tcW w:type="dxa" w:w="189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9AE0FAC713C45</w:t>
            </w:r>
          </w:p>
        </w:tc>
        <w:tc>
          <w:tcPr>
            <w:tcW w:type="dxa" w:w="85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63</w:t>
            </w:r>
          </w:p>
        </w:tc>
        <w:tc>
          <w:tcPr>
            <w:tcW w:type="dxa" w:w="8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001</w:t>
            </w:r>
          </w:p>
        </w:tc>
        <w:tc>
          <w:tcPr>
            <w:tcW w:type="dxa" w:w="198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  <w:tc>
          <w:tcPr>
            <w:tcW w:type="dxa" w:w="198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0000000000000</w:t>
            </w:r>
          </w:p>
        </w:tc>
      </w:tr>
    </w:tbl>
    <w:p>
      <w:pPr>
        <w:pStyle w:val="AfterTable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Функциональное покрытие задано моделью покрытия в RTL устройства (covergroup mant_shifter_cg). Ее бины и тесты, которые их закрывают, приведены в таблице 7.</w:t>
      </w:r>
    </w:p>
    <w:p>
      <w:pPr>
        <w:pStyle w:val="Tabl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бины функционального покрытия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200"/>
        <w:gridCol w:w="2655"/>
        <w:gridCol w:w="2500"/>
      </w:tblGrid>
      <w:tr>
        <w:trPr>
          <w:cantSplit/>
          <w:tblHeader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Бин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означает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Закрывающие тесты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ZERO_SHIFT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0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shift, round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SHIFT_LESSER_THAN_MANTISSA_WIDTH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1–52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тесты с данными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SHIFT_GREATER_THAN_MANTISSA_WIDTH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сдвиг 53–63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shift, round, stream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INPUT_VALUES_SPARSE_STREAM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разреженный поток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shift, round, stream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INPUT_VALUES_TIGHT_STREAM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 транзакции подряд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stream, reset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AFTER_GRS_ROUND_UP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вверх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тесты с данными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AFTER_GRS_ROUND_DOWN</w:t>
            </w:r>
          </w:p>
        </w:tc>
        <w:tc>
          <w:tcPr>
            <w:tcW w:type="dxa" w:w="265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округление вниз</w:t>
            </w:r>
          </w:p>
        </w:tc>
        <w:tc>
          <w:tcPr>
            <w:tcW w:type="dxa" w:w="2500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pStyle w:val="TableText"/>
              <w:keepNext w:val="false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все тесты с данными</w:t>
            </w:r>
          </w:p>
        </w:tc>
      </w:tr>
    </w:tbl>
    <w:p>
      <w:pPr>
        <w:pStyle w:val="Heading2AfterTabl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Результаты CI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каждого этапа отправлен в ветку iu6_72_kondratov отдельным коммитом с меткой [ci phase N], и пайплайн каждого этапа завершился успешно. На этапах 1 и 2 базовый тест со встроенными проверками этапа прошел без ошибок (рисунки 5 и 6). На этапе 3 регрессия из пяти тестов прошла полностью: 5 PASSED, 0 FAILED (рисунок 7). Кодовое покрытие устройства составило 97,18 % при требуемых 95 % (рисунок 8), функциональное покрытие – 100 % (рисунок 9).</w:t>
      </w:r>
    </w:p>
    <w:p>
      <w:pPr>
        <w:pStyle w:val="Figure"/>
      </w:pPr>
      <w:r>
        <w:drawing>
          <wp:inline distT="0" distB="0" distL="0" distR="0">
            <wp:extent cx="53911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лог джобы build-phase-1 (этап 1)</w:t>
      </w:r>
    </w:p>
    <w:p>
      <w:pPr>
        <w:pStyle w:val="Figure"/>
      </w:pPr>
      <w:r>
        <w:drawing>
          <wp:inline distT="0" distB="0" distL="0" distR="0">
            <wp:extent cx="53911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лог джобы build-phase-2 (этап 2)</w:t>
      </w:r>
    </w:p>
    <w:p>
      <w:pPr>
        <w:pStyle w:val="Figure"/>
      </w:pPr>
      <w:r>
        <w:drawing>
          <wp:inline distT="0" distB="0" distL="0" distR="0">
            <wp:extent cx="539115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результаты регрессии, джоба test-phase-3 (этап 3)</w:t>
      </w:r>
    </w:p>
    <w:p>
      <w:pPr>
        <w:pStyle w:val="Figure"/>
      </w:pPr>
      <w:r>
        <w:drawing>
          <wp:inline distT="0" distB="0" distL="0" distR="0">
            <wp:extent cx="539115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кодовое покрытие, джоба code-coverage (этап 3)</w:t>
      </w:r>
    </w:p>
    <w:p>
      <w:pPr>
        <w:pStyle w:val="Figure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функциональное покрытие, джоба func-coverage (этап 3)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модуля сдвига и округления мантисс mant_shifter с MANT_W = 52 разработано верификационное окружение на SystemVerilog: интерфейс, обертка устройства, активный входной и пассивный выходной агенты, эталонная модель и табло статистики. Эталонная модель вычисляет результат по правилам спецификации через явные разряды G, R, S и учитывает двухтактную задержку конвейера, поэтому правильно предсказывает потерю данных при горячем сбросе.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Разработаны пять тестов, две последовательности и весовое ограничение на величину сдвига. Регрессия проходит без ошибок сравнения, кодовое покрытие устройства составило 97,18 %, функциональное – 100 %, пайплайны CI всех трех этапов завершились успешно. Расхождений поведения устройства со спецификацией не обнаружено: сдвиг, все варианты округления, крайние случаи сдвигов 0 и 53–63, переполнение при округлении, конвейерная работа и сброс соответствуют ожидаемым.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Лабораторные работы и ДЗ по верификации. Этапы № 1 – № 3: методические указания [Электронный ресурс] // Репозиторий verification_lab, МГТУ им. Н.Э. Баумана, кафедра ИУ6.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Спецификация модуля сдвига и округления мантисс чисел с плавающей точкой mant_shifter [Электронный ресурс] // Репозиторий verification_lab. – URL: https://gitlab.bmstu.ru/iu6-hardware-section/verification_lab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IEEE Std 1800-2017. IEEE Standard for SystemVerilog – Unified Hardware Design, Specification, and Verification Language. – New York: IEEE, 2018. – 1315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IEEE Std 754-2019. IEEE Standard for Floating-Point Arithmetic. – New York: IEEE, 2019. – 84 p.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Floating-point numbers and rounding [Электронный ресурс]. – URL: https://drilian.com/posts/2023.01.10-floating-point-numbers-and-rounding/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 – 27 с.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Verilator [Электронный ресурс]. – URL: https://verilator.org (дата обращения: 26.10.2026).</w:t>
      </w:r>
    </w:p>
    <w:p>
      <w:pPr>
        <w:pStyle w:val="Source"/>
        <w:tabs>
          <w:tab w:val="left" w:pos="1134"/>
        </w:tabs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GTKWave [Электронный ресурс] : программа просмотра временных диаграмм. – URL: https://gtkwave.sourceforge.net (дата обращения: 26.10.2026).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0" w:before="0" w:line="360" w:lineRule="auto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0" w:before="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AfterTable">
    <w:name w:val="Заголовок 2 после таблицы"/>
    <w:basedOn w:val="Heading2"/>
    <w:next w:val="Normal"/>
    <w:pPr>
      <w:keepNext/>
      <w:spacing w:after="0" w:before="12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AfterTable">
    <w:name w:val="Текст после таблицы"/>
    <w:basedOn w:val="Normal"/>
    <w:next w:val="Normal"/>
    <w:pPr>
      <w:spacing w:after="0" w:before="120" w:line="360" w:lineRule="auto"/>
    </w:pPr>
  </w:style>
  <w:style w:type="paragraph" w:styleId="TableCaption">
    <w:name w:val="Подпись таблицы"/>
    <w:basedOn w:val="Normal"/>
    <w:next w:val="Normal"/>
    <w:pPr>
      <w:keepNext/>
      <w:keepLines/>
      <w:spacing w:after="0" w:before="0" w:line="360" w:lineRule="auto"/>
      <w:jc w:val="left"/>
    </w:pPr>
  </w:style>
  <w:style w:type="paragraph" w:styleId="Figure">
    <w:name w:val="Рисунок"/>
    <w:basedOn w:val="Normal"/>
    <w:next w:val="FigureCaption"/>
    <w:pPr>
      <w:keepNext/>
      <w:spacing w:after="0" w:before="0" w:line="240" w:lineRule="auto"/>
      <w:jc w:val="center"/>
    </w:pPr>
  </w:style>
  <w:style w:type="paragraph" w:styleId="FigureCaption">
    <w:name w:val="Подпись рисунка"/>
    <w:basedOn w:val="Normal"/>
    <w:next w:val="Normal"/>
    <w:pPr>
      <w:keepLines/>
      <w:spacing w:after="0" w:before="0" w:line="360" w:lineRule="auto"/>
      <w:jc w:val="center"/>
    </w:pPr>
  </w:style>
  <w:style w:type="paragraph" w:styleId="TableText">
    <w:name w:val="Текст в таблице"/>
    <w:basedOn w:val="Normal"/>
    <w:pPr>
      <w:spacing w:after="0" w:before="0" w:line="240" w:lineRule="auto"/>
    </w:pPr>
    <w:rPr>
      <w:sz w:val="24"/>
      <w:szCs w:val="24"/>
    </w:rPr>
  </w:style>
  <w:style w:type="paragraph" w:styleId="Code">
    <w:name w:val="Листинг"/>
    <w:basedOn w:val="Normal"/>
    <w:pPr>
      <w:spacing w:after="0" w:before="0" w:line="240" w:lineRule="auto"/>
      <w:ind w:left="360" w:hanging="360"/>
      <w:jc w:val="left"/>
    </w:pPr>
    <w:rPr>
      <w:rFonts w:ascii="Courier New" w:cs="Courier New" w:eastAsia="Courier New" w:hAnsi="Courier New"/>
      <w:sz w:val="20"/>
      <w:szCs w:val="20"/>
    </w:rPr>
  </w:style>
  <w:style w:type="paragraph" w:styleId="TocLine">
    <w:name w:val="Строка содержания"/>
    <w:basedOn w:val="Normal"/>
    <w:pPr>
      <w:spacing w:after="0" w:before="0" w:line="360" w:lineRule="auto"/>
      <w:jc w:val="left"/>
    </w:pPr>
  </w:style>
  <w:style w:type="paragraph" w:styleId="TitleText">
    <w:name w:val="Текст титула"/>
    <w:basedOn w:val="Normal"/>
    <w:pPr>
      <w:spacing w:after="0" w:before="0" w:line="240" w:lineRule="auto"/>
    </w:pPr>
  </w:style>
  <w:style w:type="paragraph" w:styleId="Source">
    <w:name w:val="Источник"/>
    <w:basedOn w:val="Normal"/>
    <w:pPr>
      <w:spacing w:after="0" w:before="0" w:line="360" w:lineRule="auto"/>
      <w:ind w:firstLine="709"/>
      <w:jc w:val="both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37bdca6e75502bcba1e11f8005b433f5139f378f.png"/><Relationship Id="rId10" Type="http://schemas.openxmlformats.org/officeDocument/2006/relationships/image" Target="media/a3293336fcf528acd2de8aa3396085120c76d82e.png"/><Relationship Id="rId11" Type="http://schemas.openxmlformats.org/officeDocument/2006/relationships/image" Target="media/bad09459860f393f5f8e463529d4c8d256fd9148.png"/><Relationship Id="rId12" Type="http://schemas.openxmlformats.org/officeDocument/2006/relationships/image" Target="media/3a4e0fc40c03f4726bcce29bdf513595fdfb67a5.png"/><Relationship Id="rId13" Type="http://schemas.openxmlformats.org/officeDocument/2006/relationships/image" Target="media/5c993838126f1d670a24416d96daab90860a67c7.png"/><Relationship Id="rId14" Type="http://schemas.openxmlformats.org/officeDocument/2006/relationships/image" Target="media/4239b34051bb852fe70e299cc2251c6fa06d1314.png"/><Relationship Id="rId15" Type="http://schemas.openxmlformats.org/officeDocument/2006/relationships/image" Target="media/4fdcd82cd95fe004939b7ba125f78b864744fe02.png"/><Relationship Id="rId16" Type="http://schemas.openxmlformats.org/officeDocument/2006/relationships/image" Target="media/faaabf8ed534eb5f91b953a1c130b5384c717220.png"/><Relationship Id="rId17" Type="http://schemas.openxmlformats.org/officeDocument/2006/relationships/image" Target="media/4b12d42fc2b7baf6d49caac29cb48e629a4cdbda.png"/><Relationship Id="rId18" Type="http://schemas.openxmlformats.org/officeDocument/2006/relationships/image" Target="media/f683e526a6ddbf6cdb115e2c45984a13254611e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2. Верификация модуля mant_shifter</dc:title>
  <dc:creator>С.Ю. Кондратов</dc:creator>
  <cp:lastModifiedBy>Un-named</cp:lastModifiedBy>
  <cp:revision>1</cp:revision>
  <dcterms:created xsi:type="dcterms:W3CDTF">2026-10-26T10:49:59.971Z</dcterms:created>
  <dcterms:modified xsi:type="dcterms:W3CDTF">2026-10-26T10:49:59.971Z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