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242773016102877300100100200010000323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242773016102877300100100200010000323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Москве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Управа района Филевский парк города Москвы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Мирошниченко Романа Евгеньевича</w:t>
      </w:r>
      <w:r w:rsidRPr="00036AA1">
        <w:t xml:space="preserve">, действующего на основании </w:t>
      </w:r>
      <w:r w:rsidR="00036AA1" w:rsidRPr="00036AA1">
        <w:t xml:space="preserve">1.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Швец Татьяна Николаевна,</w:t>
      </w:r>
      <w:r w:rsidRPr="00036AA1">
        <w:t xml:space="preserve"> в лице директора </w:t>
      </w:r>
      <w:r w:rsidRPr="00036AA1">
        <w:rPr>
          <w:b/>
          <w:bCs/>
        </w:rPr>
        <w:t xml:space="preserve">Швец Татьяна Николаевна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Управа района Филевский парк города Москвы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Швец Татьяна Николаевна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2191132, 121309,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7730161028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773001001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1027730012111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ГУ Банка России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03222643450000007300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40102810545370000003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004525988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0117242,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Куркинское шоссе, д. 68 стр. 1 пом.3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770701001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1124345020997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Сбербанк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40802810440000009830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044525225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