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1490345</wp:posOffset>
            </wp:positionH>
            <wp:positionV relativeFrom="margin">
              <wp:posOffset>0</wp:posOffset>
            </wp:positionV>
            <wp:extent cx="835025" cy="90233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35025" cy="9023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69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5933" w:h="8976"/>
          <w:pgMar w:top="259" w:right="555" w:bottom="160" w:left="197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государственный стандарт</w:t>
      </w:r>
      <w:bookmarkEnd w:id="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40" w:line="26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СОЮЗА ССР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40" w:line="324" w:lineRule="auto"/>
        <w:ind w:left="0" w:right="0" w:firstLine="0"/>
        <w:jc w:val="center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МАРГАНЕЦ МЕТАЛЛИЧЕСКИЙ</w:t>
        <w:br/>
        <w:t>И МАРГАНЕЦ АЗОТИРОВАННЫЙ</w:t>
      </w:r>
      <w:bookmarkEnd w:id="2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20" w:line="305" w:lineRule="auto"/>
        <w:ind w:left="0" w:right="0" w:firstLine="0"/>
        <w:jc w:val="center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технические условия</w:t>
      </w:r>
      <w:bookmarkEnd w:id="4"/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340" w:line="286" w:lineRule="auto"/>
        <w:ind w:left="0" w:right="0" w:firstLine="0"/>
        <w:jc w:val="center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ГОСТ 6008-90</w:t>
        <w:br/>
        <w:t>(СТ СЭВ 497-89)</w:t>
      </w:r>
      <w:bookmarkEnd w:id="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96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01600" distR="101600" simplePos="0" relativeHeight="125829378" behindDoc="0" locked="0" layoutInCell="1" allowOverlap="1">
                <wp:simplePos x="0" y="0"/>
                <wp:positionH relativeFrom="page">
                  <wp:posOffset>125095</wp:posOffset>
                </wp:positionH>
                <wp:positionV relativeFrom="paragraph">
                  <wp:posOffset>114300</wp:posOffset>
                </wp:positionV>
                <wp:extent cx="143510" cy="120396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510" cy="12039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ru-RU" w:eastAsia="ru-RU" w:bidi="ru-RU"/>
                              </w:rPr>
                              <w:t xml:space="preserve">199/06—8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eg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'uom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 oz</w:t>
                            </w:r>
                          </w:p>
                        </w:txbxContent>
                      </wps:txbx>
                      <wps:bodyPr upright="1" vert="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.8499999999999996pt;margin-top:9.pt;width:11.300000000000001pt;height:94.799999999999997pt;z-index:-125829375;mso-wrap-distance-left:8.pt;mso-wrap-distance-right:8.pt;mso-position-horizontal-relative:page" filled="f" stroked="f">
                <v:textbox style="layout-flow:vertical"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ru-RU" w:eastAsia="ru-RU" w:bidi="ru-RU"/>
                        </w:rPr>
                        <w:t xml:space="preserve">199/06—8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eg </w:t>
                      </w:r>
                      <w:r>
                        <w:rPr>
                          <w:rFonts w:ascii="Courier New" w:eastAsia="Courier New" w:hAnsi="Courier New" w:cs="Courier New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'uom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 oz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Издание официальное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rPr>
          <w:sz w:val="12"/>
          <w:szCs w:val="1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5933" w:h="8976"/>
          <w:pgMar w:top="259" w:right="554" w:bottom="160" w:left="69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ru-RU" w:eastAsia="ru-RU" w:bidi="ru-RU"/>
        </w:rPr>
        <w:t>ГОСУДАРСТВЕННЫЙ КОМИТЕТ СССР ПО УПРАВЛЕНИЮ</w:t>
        <w:br/>
        <w:t>КАЧЕСТВОМ ПРОДУКЦИИ И СТАНДАРТАМ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ru-RU" w:eastAsia="ru-RU" w:bidi="ru-RU"/>
        </w:rPr>
        <w:t>Москва</w:t>
      </w:r>
    </w:p>
    <w:p>
      <w:pPr>
        <w:widowControl w:val="0"/>
        <w:spacing w:line="139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5933" w:h="8976"/>
          <w:pgMar w:top="259" w:right="0" w:bottom="16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9"/>
        <w:keepNext w:val="0"/>
        <w:keepLines w:val="0"/>
        <w:framePr w:w="178" w:h="113" w:wrap="none" w:vAnchor="text" w:hAnchor="page" w:x="37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rPr/>
        <w:instrText> HYPERLINK "http://www.kruzhevo-len.ru/krasivye-sharfy.html"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гптжирф</w:t>
      </w:r>
      <w:r>
        <w:fldChar w:fldCharType="end"/>
      </w:r>
    </w:p>
    <w:p>
      <w:pPr>
        <w:widowControl w:val="0"/>
        <w:spacing w:after="11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5933" w:h="8976"/>
          <w:pgMar w:top="259" w:right="555" w:bottom="160" w:left="197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tabs>
          <w:tab w:pos="5321" w:val="left"/>
        </w:tabs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УДК 689.74:006.354</w:t>
        <w:tab/>
        <w:t>Грума В12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ГОСУДАРСТВЕННЫЙ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СТАНДАРТ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СОЮЗА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ССР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276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3007995</wp:posOffset>
                </wp:positionH>
                <wp:positionV relativeFrom="paragraph">
                  <wp:posOffset>50800</wp:posOffset>
                </wp:positionV>
                <wp:extent cx="1108710" cy="668655"/>
                <wp:wrapSquare wrapText="lef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08710" cy="6686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29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ru-RU" w:eastAsia="ru-RU" w:bidi="ru-RU"/>
                              </w:rPr>
                              <w:t>ГОСТ</w:t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6008—90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ru-RU" w:eastAsia="ru-RU" w:bidi="ru-RU"/>
                              </w:rPr>
                              <w:t xml:space="preserve">(СТ СЭВ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497—89)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36.84999999999999pt;margin-top:4.pt;width:87.299999999999997pt;height:52.649999999999999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29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ru-RU" w:eastAsia="ru-RU" w:bidi="ru-RU"/>
                        </w:rPr>
                        <w:t>ГОСТ</w:t>
                        <w:br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6008—90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ru-RU" w:eastAsia="ru-RU" w:bidi="ru-RU"/>
                        </w:rPr>
                        <w:t xml:space="preserve">(СТ СЭВ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497—89)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МАРГАНЕЦ МЕТАЛЛИЧЕСКИЙ</w:t>
        <w:br/>
        <w:t>И МАРГАНЕЦ АЗОТИРОВАННЫЙ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Технические условия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19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Metallic manganese and nitrated manganese</w:t>
        <w:br/>
        <w:t>Specifications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GKH 08 3400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24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Срок действия 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01.07.9t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 01.07.96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Настоящий стандарт распространяется на металлический мар</w:t>
        <w:softHyphen/>
        <w:t>ганец и азотированный металлический марганец, применяемый для легирования специальных сталей и сплавов, а также в хими</w:t>
        <w:softHyphen/>
        <w:t>ческой промышленности.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204" w:lineRule="auto"/>
        <w:ind w:left="0" w:right="0" w:firstLine="3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Требования настоящего стандарта являются обязательными.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2" w:val="left"/>
        </w:tabs>
        <w:bidi w:val="0"/>
        <w:spacing w:before="0" w:after="1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ТЕХНИЧЕСКИЕ ТРЕБОВАНИЯ</w:t>
      </w:r>
    </w:p>
    <w:p>
      <w:pPr>
        <w:pStyle w:val="Style21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783" w:val="left"/>
        </w:tabs>
        <w:bidi w:val="0"/>
        <w:spacing w:before="0" w:after="0" w:line="206" w:lineRule="auto"/>
        <w:ind w:left="0"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Металлический и азотированный марганец изготовляют в соответствии с требованиями настоящего стандарта по техноло</w:t>
        <w:softHyphen/>
        <w:t>гическому регламенту, утвержденному в установленном порядке.</w:t>
      </w:r>
    </w:p>
    <w:p>
      <w:pPr>
        <w:pStyle w:val="Style21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020" w:val="left"/>
        </w:tabs>
        <w:bidi w:val="0"/>
        <w:spacing w:before="0" w:after="0" w:line="206" w:lineRule="auto"/>
        <w:ind w:left="0" w:right="0" w:firstLine="3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Характеристики</w:t>
      </w:r>
    </w:p>
    <w:p>
      <w:pPr>
        <w:pStyle w:val="Style21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883" w:val="left"/>
        </w:tabs>
        <w:bidi w:val="0"/>
        <w:spacing w:before="0" w:after="2380" w:line="206" w:lineRule="auto"/>
        <w:ind w:left="0"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Марки и химический состав металлического марганца » азотированного марганца должны соответствовать приведенным в табл. 1.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Издание официальное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0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© Издательство стандартов, 1991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60" w:line="223" w:lineRule="auto"/>
        <w:ind w:left="600" w:right="0" w:hanging="600"/>
        <w:jc w:val="both"/>
        <w:sectPr>
          <w:footnotePr>
            <w:pos w:val="pageBottom"/>
            <w:numFmt w:val="decimal"/>
            <w:numRestart w:val="continuous"/>
          </w:footnotePr>
          <w:pgSz w:w="7238" w:h="10863"/>
          <w:pgMar w:top="548" w:right="404" w:bottom="672" w:left="28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Настоящий стандарт не может быть полностью или частично воспроизведен^ тиражирован и распространен без разрешения Госстандарта СССР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388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Таблица 1</w:t>
      </w:r>
    </w:p>
    <w:tbl>
      <w:tblPr>
        <w:tblOverlap w:val="never"/>
        <w:jc w:val="center"/>
        <w:tblLayout w:type="fixed"/>
      </w:tblPr>
      <w:tblGrid>
        <w:gridCol w:w="771"/>
        <w:gridCol w:w="1031"/>
        <w:gridCol w:w="780"/>
        <w:gridCol w:w="790"/>
        <w:gridCol w:w="785"/>
        <w:gridCol w:w="785"/>
        <w:gridCol w:w="790"/>
        <w:gridCol w:w="776"/>
      </w:tblGrid>
      <w:tr>
        <w:trPr>
          <w:trHeight w:val="274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Марка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Способ производ</w:t>
              <w:softHyphen/>
              <w:t>ства</w:t>
            </w: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Массовая доля, %</w:t>
            </w:r>
          </w:p>
        </w:tc>
      </w:tr>
      <w:tr>
        <w:trPr>
          <w:trHeight w:val="543" w:hRule="exact"/>
        </w:trPr>
        <w:tc>
          <w:tcPr>
            <w:vMerge/>
            <w:tcBorders/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марганца, ие менее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auto"/>
              <w:ind w:left="220" w:right="0" w:firstLine="20"/>
              <w:jc w:val="both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угле</w:t>
              <w:softHyphen/>
              <w:t>рода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кремния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фосфора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серы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азота, не ме</w:t>
              <w:softHyphen/>
              <w:t>нее</w:t>
            </w:r>
          </w:p>
        </w:tc>
      </w:tr>
      <w:tr>
        <w:trPr>
          <w:trHeight w:val="246" w:hRule="exact"/>
        </w:trPr>
        <w:tc>
          <w:tcPr>
            <w:vMerge/>
            <w:tcBorders/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ru-RU" w:eastAsia="ru-RU" w:bidi="ru-RU"/>
              </w:rPr>
              <w:t>ие более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</w:tr>
      <w:tr>
        <w:trPr>
          <w:trHeight w:val="692" w:hRule="exact"/>
        </w:trPr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Мн998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Мк997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Электро</w:t>
              <w:softHyphen/>
              <w:t>литический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99,8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99,7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220" w:right="0" w:firstLine="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0,04 0.06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0,003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0,03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—</w:t>
            </w:r>
          </w:p>
        </w:tc>
      </w:tr>
      <w:tr>
        <w:trPr>
          <w:trHeight w:val="869" w:hRule="exact"/>
        </w:trPr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Мн965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Мн95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Электро</w:t>
              <w:softHyphen/>
              <w:t>термичес</w:t>
              <w:softHyphen/>
              <w:t>кий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96,5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95.0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0,10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220" w:right="0" w:firstLine="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0.20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0,8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1.8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0,05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0,05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—</w:t>
            </w:r>
          </w:p>
        </w:tc>
      </w:tr>
      <w:tr>
        <w:trPr>
          <w:trHeight w:val="1027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Мн92Н6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Азотиро</w:t>
              <w:softHyphen/>
              <w:t>вание элект</w:t>
              <w:softHyphen/>
              <w:t>ролитичес</w:t>
              <w:softHyphen/>
              <w:t>кого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92,0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28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6,0</w:t>
            </w:r>
          </w:p>
        </w:tc>
      </w:tr>
      <w:tr>
        <w:trPr>
          <w:trHeight w:val="929" w:hRule="exact"/>
        </w:trPr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Мн87Н6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Мн89Н4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Мн91Н2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Азотиро</w:t>
              <w:softHyphen/>
              <w:t>вание элек</w:t>
              <w:softHyphen/>
              <w:t>тротерми</w:t>
              <w:softHyphen/>
              <w:t>ческого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87,0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89,0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91,0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9" w:lineRule="auto"/>
              <w:ind w:left="220" w:right="0" w:firstLine="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0,20 0,20 0,20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1,8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1,8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1,8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0.07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0.07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1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22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0,05 0,05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22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6.0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4.0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2.0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Style21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916" w:val="left"/>
        </w:tabs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По требованию потребителя металлический марганец из</w:t>
        <w:softHyphen/>
        <w:t>готовляют: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с массовой долей кремния не более 0,6% в марке Мн965;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с массовой долей кремния не более 1,3%, углерода не более 0,13% в марке Мн95.</w:t>
      </w:r>
    </w:p>
    <w:p>
      <w:pPr>
        <w:pStyle w:val="Style21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897" w:val="left"/>
        </w:tabs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Металлический и азотированный марганец изготовляют следующих марок: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Мн998 и Мн997 в виде кусков (пластинок) катодного осадка одной марки. Количество мелочи, проходящей через сито с раз</w:t>
        <w:softHyphen/>
        <w:t xml:space="preserve">мерами ячеек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2X2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мм, не должно превышать 5% массы партии;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Мн965, Мн95 — в кусках массой не более 15 кг. Количество кусков массой более 15 кг не должно превышать 3% массы пар</w:t>
        <w:softHyphen/>
        <w:t xml:space="preserve">тии. Количество мелочи, проходящей через сито с размерами ячеек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10X10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мм, не должно превышать 10% от массы партии;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Мн92Н6 — в кусках или спеках катодного осадка массой не более 15 кг. Количество мелочи, проходящей через сито с разме</w:t>
        <w:softHyphen/>
        <w:t xml:space="preserve">рами ячеек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5x5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мм, не должно превышать 10% массы партии;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 xml:space="preserve">Мн87Н6, Мн89Н4, Мн91Н2 — в кусках массой не более 15 кг. Количество мелочи, проходящей через сито с размерами ячеек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10X10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мм, не должно превышать 20% массы партии.</w:t>
      </w:r>
    </w:p>
    <w:p>
      <w:pPr>
        <w:pStyle w:val="Style21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893" w:val="left"/>
        </w:tabs>
        <w:bidi w:val="0"/>
        <w:spacing w:before="0" w:after="0" w:line="214" w:lineRule="auto"/>
        <w:ind w:left="0" w:right="0" w:firstLine="340"/>
        <w:jc w:val="both"/>
        <w:rPr>
          <w:sz w:val="20"/>
          <w:szCs w:val="20"/>
        </w:rPr>
        <w:sectPr>
          <w:headerReference w:type="default" r:id="rId7"/>
          <w:footnotePr>
            <w:pos w:val="pageBottom"/>
            <w:numFmt w:val="decimal"/>
            <w:numRestart w:val="continuous"/>
          </w:footnotePr>
          <w:pgSz w:w="7238" w:h="10863"/>
          <w:pgMar w:top="548" w:right="404" w:bottom="672" w:left="288" w:header="0" w:footer="244" w:gutter="0"/>
          <w:pgNumType w:start="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Куски металлического и азотированного марганца как в изломе, так и на поверхности не должны быть загрязнены пес-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ком, шлаком и другими инородными материалами. Допускаются следы противопригарных материалов и окисной пленки в марган</w:t>
        <w:softHyphen/>
        <w:t>це марок Мн965 и Мн95.</w:t>
      </w:r>
    </w:p>
    <w:p>
      <w:pPr>
        <w:pStyle w:val="Style21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166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Требования безопасности</w:t>
      </w:r>
    </w:p>
    <w:p>
      <w:pPr>
        <w:pStyle w:val="Style21"/>
        <w:keepNext w:val="0"/>
        <w:keepLines w:val="0"/>
        <w:widowControl w:val="0"/>
        <w:numPr>
          <w:ilvl w:val="3"/>
          <w:numId w:val="1"/>
        </w:numPr>
        <w:shd w:val="clear" w:color="auto" w:fill="auto"/>
        <w:tabs>
          <w:tab w:pos="966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Пыль марганца по степени воздействия на человека от</w:t>
        <w:softHyphen/>
        <w:t>носится ко второму классу опасности по ГОСТ 12.1.007.</w:t>
      </w:r>
    </w:p>
    <w:p>
      <w:pPr>
        <w:pStyle w:val="Style21"/>
        <w:keepNext w:val="0"/>
        <w:keepLines w:val="0"/>
        <w:widowControl w:val="0"/>
        <w:numPr>
          <w:ilvl w:val="3"/>
          <w:numId w:val="1"/>
        </w:numPr>
        <w:shd w:val="clear" w:color="auto" w:fill="auto"/>
        <w:tabs>
          <w:tab w:pos="963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Марганец является токсичным веществом, длительное воздействие которого вызывает в центральной нервной системе органические изменения. Вдыхание пыли марганецсодержащих материалов, помимо общетоксического воздействия может спо</w:t>
        <w:softHyphen/>
        <w:t>собствовать развитию особой формы пневмокониоза — манганоко- ниозэ.</w:t>
      </w:r>
    </w:p>
    <w:p>
      <w:pPr>
        <w:pStyle w:val="Style21"/>
        <w:keepNext w:val="0"/>
        <w:keepLines w:val="0"/>
        <w:widowControl w:val="0"/>
        <w:numPr>
          <w:ilvl w:val="3"/>
          <w:numId w:val="1"/>
        </w:numPr>
        <w:shd w:val="clear" w:color="auto" w:fill="auto"/>
        <w:tabs>
          <w:tab w:pos="961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Предельно допустимая концентрация (ПДК) пыли мар</w:t>
        <w:softHyphen/>
        <w:t>ганца в воздухе рабочей зоны в пересчете на МпО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ru-RU" w:eastAsia="ru-RU" w:bidi="ru-RU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—0,3 мг/м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footnoteReference w:id="2"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footnoteReference w:id="3"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по ГОСТ 12.1.005. Другие гигиенические нормативы содержания мар</w:t>
        <w:softHyphen/>
        <w:t>ганца в объемах окружающей среды приведены в приложении.</w:t>
      </w:r>
    </w:p>
    <w:p>
      <w:pPr>
        <w:pStyle w:val="Style21"/>
        <w:keepNext w:val="0"/>
        <w:keepLines w:val="0"/>
        <w:widowControl w:val="0"/>
        <w:numPr>
          <w:ilvl w:val="3"/>
          <w:numId w:val="1"/>
        </w:numPr>
        <w:shd w:val="clear" w:color="auto" w:fill="auto"/>
        <w:tabs>
          <w:tab w:pos="970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Контроль содержания марганца в воздухе рабочей зоны проводят периодически по ГОСТ 12.1.007 методом, утвержденным Министерством здравоохранения СССР.</w:t>
      </w:r>
    </w:p>
    <w:p>
      <w:pPr>
        <w:pStyle w:val="Style21"/>
        <w:keepNext w:val="0"/>
        <w:keepLines w:val="0"/>
        <w:widowControl w:val="0"/>
        <w:numPr>
          <w:ilvl w:val="3"/>
          <w:numId w:val="1"/>
        </w:numPr>
        <w:shd w:val="clear" w:color="auto" w:fill="auto"/>
        <w:tabs>
          <w:tab w:pos="990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Усилению токсичности и спеков способствует воздушная и окислительная среда, оказывающая влияние на перевод марган</w:t>
        <w:softHyphen/>
        <w:t>ца в активное 6-ти валентное состояние. Хранение металлического марганца и азотированного марганца должно исключать его пере- окисление.</w:t>
      </w:r>
    </w:p>
    <w:p>
      <w:pPr>
        <w:pStyle w:val="Style21"/>
        <w:keepNext w:val="0"/>
        <w:keepLines w:val="0"/>
        <w:widowControl w:val="0"/>
        <w:numPr>
          <w:ilvl w:val="3"/>
          <w:numId w:val="1"/>
        </w:numPr>
        <w:shd w:val="clear" w:color="auto" w:fill="auto"/>
        <w:tabs>
          <w:tab w:pos="961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Нижний концентрационный предел распространения пламени (НКПР) составляет: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90 г/м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— для металлического марганца;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1000 г/м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—для азотированного марганца.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Температура самовоспламенения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(t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св.) аэрозоля составляет: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240°С — для металлического марганца;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620°С — для азотированного марганца.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Методы определения показателей пожаровзрывоопасности — по ГОСТ 12.1.044.</w:t>
      </w:r>
    </w:p>
    <w:p>
      <w:pPr>
        <w:pStyle w:val="Style21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945" w:val="left"/>
        </w:tabs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Упаковка и маркировка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Упаковка и маркировка металлического марганца и азотиро</w:t>
        <w:softHyphen/>
        <w:t>ванного марганца — по ГОСТ 26590 с дополнением: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металлический и азотированный марганец упаковывают в де</w:t>
        <w:softHyphen/>
        <w:t>ревянные ящики, металлические барабаны или в специализиро</w:t>
        <w:softHyphen/>
        <w:t>ванные контейнеры. Допускается металлический марганец марок Мн965 и Мн95 поставлять навалом.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Мн998, Мн997, Мн92Н6 принимают партиями, состоящими из мар* ганца одной садки. Отклонения по массовой доле марганца меж</w:t>
        <w:softHyphen/>
        <w:t>ду отдельными плавками партиями для марки Мн965 не должно превышать 2,0%, для марок Мн95, Мн87Н6, Мн89Н4, Мн91Н2 — 2,5%. Партия должна быть оформлена документом о качестве, со</w:t>
        <w:softHyphen/>
        <w:t>держащим: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 w:firstLine="34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товарный знак или наименование и товарный знак предприя-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тия-изгоговителя;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3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марку металлического или азотированного марганца; химический состав;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номер партии;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массу партии;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номер вагона;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количество грузовых мест, их массу брутто и нетто;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дату изготовления;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штамп технического контроля;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02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обозначение настоящего стандарта.</w:t>
      </w:r>
    </w:p>
    <w:p>
      <w:pPr>
        <w:pStyle w:val="Style21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678" w:val="left"/>
        </w:tabs>
        <w:bidi w:val="0"/>
        <w:spacing w:before="0" w:after="0" w:line="204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Объем выборки для определения химического состава — по ГОСТ 26999.</w:t>
      </w:r>
    </w:p>
    <w:p>
      <w:pPr>
        <w:pStyle w:val="Style21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673" w:val="left"/>
        </w:tabs>
        <w:bidi w:val="0"/>
        <w:spacing w:before="0" w:after="0" w:line="204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Объем выборки для определения максимальной массы кус</w:t>
        <w:softHyphen/>
        <w:t>ка и проверки отсутствия загрязнений--шесть кусков, произволь</w:t>
        <w:softHyphen/>
        <w:t>но взятых от партии.</w:t>
      </w:r>
    </w:p>
    <w:p>
      <w:pPr>
        <w:pStyle w:val="Style21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675" w:val="left"/>
        </w:tabs>
        <w:bidi w:val="0"/>
        <w:spacing w:before="0" w:after="0" w:line="204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Объем выборки для определения гранулометрического со</w:t>
        <w:softHyphen/>
        <w:t>става—по ГОСТ 22310.</w:t>
      </w:r>
    </w:p>
    <w:p>
      <w:pPr>
        <w:pStyle w:val="Style21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675" w:val="left"/>
        </w:tabs>
        <w:bidi w:val="0"/>
        <w:spacing w:before="0" w:after="0" w:line="204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каждой партии металлического и азотированного мар</w:t>
        <w:softHyphen/>
        <w:t>ганца определяют: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для марок Мн998, Мн997 и Мн92Н6 — массовую долю марган</w:t>
        <w:softHyphen/>
        <w:t>ца, углерода и серы;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28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для марок Мн965, Мн95, Мн87Н6, Мн8$Н4, Мн91Н2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— массо</w:t>
        <w:softHyphen/>
        <w:t>вую долю марганца, углерода, кремния и фосфора;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массовую долю азота — для марок азотированного марганца.</w:t>
      </w:r>
    </w:p>
    <w:p>
      <w:pPr>
        <w:pStyle w:val="Style21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673" w:val="left"/>
        </w:tabs>
        <w:bidi w:val="0"/>
        <w:spacing w:before="0" w:after="0" w:line="204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 требованию потребителя в металлическом марганце марок Мн998 и Мн997 определяют массовую долю кремния и фосфора; марок Мн87Н6, Мн89Н4, Мн91Н2 — серы; марок Мн965, Мн95 — серы и железа.</w:t>
      </w:r>
    </w:p>
    <w:p>
      <w:pPr>
        <w:pStyle w:val="Style21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673" w:val="left"/>
        </w:tabs>
        <w:bidi w:val="0"/>
        <w:spacing w:before="0" w:after="220" w:line="204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 получении неудовлетворительных результатов хотя бы по одному из показателей по нему проводят повторную проверку на удвоенной выборке, взятой от той же партии. Результаты пов</w:t>
        <w:softHyphen/>
        <w:t>торной проверки распространяются на всю партию.</w:t>
      </w:r>
    </w:p>
    <w:p>
      <w:pPr>
        <w:pStyle w:val="Style1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181" w:val="left"/>
        </w:tabs>
        <w:bidi w:val="0"/>
        <w:spacing w:before="0" w:after="120" w:line="240" w:lineRule="auto"/>
        <w:ind w:left="1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МЕТОДЫ КОНТРОЛЯ</w:t>
      </w:r>
    </w:p>
    <w:p>
      <w:pPr>
        <w:pStyle w:val="Style21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685" w:val="left"/>
        </w:tabs>
        <w:bidi w:val="0"/>
        <w:spacing w:before="0" w:after="60" w:line="202" w:lineRule="auto"/>
        <w:ind w:left="0" w:right="0" w:firstLine="280"/>
        <w:jc w:val="both"/>
        <w:sectPr>
          <w:headerReference w:type="default" r:id="rId8"/>
          <w:headerReference w:type="first" r:id="rId9"/>
          <w:footnotePr>
            <w:pos w:val="pageBottom"/>
            <w:numFmt w:val="decimal"/>
            <w:numStart w:val="2"/>
            <w:numRestart w:val="continuous"/>
            <w15:footnoteColumns w:val="1"/>
          </w:footnotePr>
          <w:pgSz w:w="7238" w:h="10863"/>
          <w:pgMar w:top="1046" w:right="557" w:bottom="1122" w:left="707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Отбор и подготовку проб для определения химического состава проводят по ГОСТ 26999 или другими методами, обеспе</w:t>
        <w:softHyphen/>
        <w:t>чивающими требуемую точность отбора.</w:t>
      </w:r>
    </w:p>
    <w:p>
      <w:pPr>
        <w:pStyle w:val="Style21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670" w:val="left"/>
        </w:tabs>
        <w:bidi w:val="0"/>
        <w:spacing w:before="0" w:after="0" w:line="206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Химический состав металлического марганца и азотирован</w:t>
        <w:softHyphen/>
        <w:t xml:space="preserve">ного марганца определяют по ГОСТ 28473, ГОСТ 27069, ГОСТ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27U41,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ГОСТ 16698.1, ГОСТ 16698,4, ГОСТ 16698,5, ГОСТ 16698.13 или другими методами, обеспечивающими требуемую точность определения.</w:t>
      </w:r>
    </w:p>
    <w:p>
      <w:pPr>
        <w:pStyle w:val="Style21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670" w:val="left"/>
        </w:tabs>
        <w:bidi w:val="0"/>
        <w:spacing w:before="0" w:after="0" w:line="206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Отбор проб для определения гранулометрического состава проводят по ГОСТ 22310 или другими методами, обеспечивающи</w:t>
        <w:softHyphen/>
        <w:t>ми требуемую точность отбора и определения.</w:t>
      </w:r>
    </w:p>
    <w:p>
      <w:pPr>
        <w:pStyle w:val="Style21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950" w:val="left"/>
        </w:tabs>
        <w:bidi w:val="0"/>
        <w:spacing w:before="0" w:after="0" w:line="206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Массу кусков определяют взвешиванием.</w:t>
      </w:r>
    </w:p>
    <w:p>
      <w:pPr>
        <w:pStyle w:val="Style21"/>
        <w:keepNext w:val="0"/>
        <w:keepLines w:val="0"/>
        <w:widowControl w:val="0"/>
        <w:numPr>
          <w:ilvl w:val="1"/>
          <w:numId w:val="7"/>
        </w:numPr>
        <w:shd w:val="clear" w:color="auto" w:fill="auto"/>
        <w:tabs>
          <w:tab w:pos="950" w:val="left"/>
        </w:tabs>
        <w:bidi w:val="0"/>
        <w:spacing w:before="0" w:after="80" w:line="206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Чистоту поверхности куска оценивают визуально.</w:t>
      </w:r>
    </w:p>
    <w:p>
      <w:pPr>
        <w:pStyle w:val="Style1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43" w:val="left"/>
        </w:tabs>
        <w:bidi w:val="0"/>
        <w:spacing w:before="0" w:after="1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ТРАНСПОРТИРОВАНИЕ И ХРАНЕНИЕ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Транспортирование и хранение — по ГОСТ 26590 с допол</w:t>
        <w:softHyphen/>
        <w:t>нениями: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металлический марганец и азотированный марганец, постав</w:t>
        <w:softHyphen/>
        <w:t>ляемый навалом и в специализированных контейнерах, транспор</w:t>
        <w:softHyphen/>
        <w:t>тируют открытым подвижным составом, а упакованный в метал</w:t>
        <w:softHyphen/>
        <w:t>лические барабаны и деревянные ящики — крытыми транспортны</w:t>
        <w:softHyphen/>
        <w:t>ми средствами.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 согласованию с потребителем упакованный металлический марганец и азотированный марганец транспортируют открытым подвижным составом.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04" w:lineRule="auto"/>
        <w:ind w:left="0" w:right="0" w:firstLine="280"/>
        <w:jc w:val="both"/>
        <w:sectPr>
          <w:headerReference w:type="default" r:id="rId10"/>
          <w:footnotePr>
            <w:pos w:val="pageBottom"/>
            <w:numFmt w:val="decimal"/>
            <w:numStart w:val="2"/>
            <w:numRestart w:val="continuous"/>
            <w15:footnoteColumns w:val="1"/>
          </w:footnotePr>
          <w:type w:val="continuous"/>
          <w:pgSz w:w="7238" w:h="10863"/>
          <w:pgMar w:top="1046" w:right="557" w:bottom="1122" w:left="707" w:header="0" w:footer="69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Барабаны с металлическим марганцем и азотированным мар</w:t>
        <w:softHyphen/>
        <w:t>ганцем, предназначенным для длительною хранения, должны быть окрашены в коричневый цвет.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ГОСТ 6008-90 с в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ПРИЛОЖЕНИЕ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6000" w:right="0" w:firstLine="0"/>
        <w:jc w:val="left"/>
        <w:rPr>
          <w:sz w:val="20"/>
          <w:szCs w:val="20"/>
        </w:rPr>
      </w:pP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Справочное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Нормативы содержания марганца в объема* окружающей среды (ПДК)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49" w:right="0" w:firstLine="0"/>
        <w:jc w:val="left"/>
        <w:rPr>
          <w:sz w:val="22"/>
          <w:szCs w:val="22"/>
        </w:rPr>
      </w:pP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Таблиц 2</w:t>
      </w:r>
    </w:p>
    <w:tbl>
      <w:tblPr>
        <w:tblOverlap w:val="never"/>
        <w:jc w:val="center"/>
        <w:tblLayout w:type="fixed"/>
      </w:tblPr>
      <w:tblGrid>
        <w:gridCol w:w="2076"/>
        <w:gridCol w:w="918"/>
        <w:gridCol w:w="918"/>
        <w:gridCol w:w="924"/>
        <w:gridCol w:w="913"/>
        <w:gridCol w:w="924"/>
        <w:gridCol w:w="902"/>
      </w:tblGrid>
      <w:tr>
        <w:trPr>
          <w:trHeight w:val="647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Элемент или вещество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 xml:space="preserve">Воздух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рабочей зоны, мг/м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ru-RU" w:eastAsia="ru-RU" w:bidi="ru-RU"/>
              </w:rPr>
              <w:t>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Атмосферный воздух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3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Вода водоис</w:t>
              <w:softHyphen/>
              <w:t>точников мг/дм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ru-RU" w:eastAsia="ru-RU" w:bidi="ru-RU"/>
              </w:rPr>
              <w:t>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Почва, в 1 кг, мг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Класс опасно</w:t>
              <w:softHyphen/>
              <w:t>сти</w:t>
            </w:r>
          </w:p>
        </w:tc>
      </w:tr>
      <w:tr>
        <w:trPr>
          <w:trHeight w:val="907" w:hRule="exact"/>
        </w:trPr>
        <w:tc>
          <w:tcPr>
            <w:vMerge/>
            <w:tcBorders/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макси</w:t>
              <w:softHyphen/>
              <w:t>мально разевая, мг/м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средне</w:t>
              <w:softHyphen/>
              <w:t>суточная, мг/м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ru-RU" w:eastAsia="ru-RU" w:bidi="ru-RU"/>
              </w:rPr>
              <w:t>8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</w:tr>
      <w:tr>
        <w:trPr>
          <w:trHeight w:val="418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Дерганец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— 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1503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</w:t>
            </w:r>
          </w:p>
        </w:tc>
      </w:tr>
      <w:tr>
        <w:trPr>
          <w:trHeight w:val="956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0" w:right="0" w:firstLine="2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Марганец и его со</w:t>
              <w:softHyphen/>
              <w:t>единения в пересче</w:t>
              <w:softHyphen/>
              <w:t>те на МпОа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0" w:right="0" w:firstLine="2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Оксиды марганца в пересчете на МпО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ru-RU" w:eastAsia="ru-RU" w:bidi="ru-RU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0,01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0 001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</w:t>
            </w:r>
          </w:p>
        </w:tc>
      </w:tr>
      <w:tr>
        <w:trPr>
          <w:trHeight w:val="67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2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Аэрозоль конденса</w:t>
              <w:softHyphen/>
              <w:t>ции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1</w:t>
            </w:r>
          </w:p>
        </w:tc>
      </w:tr>
    </w:tbl>
    <w:p>
      <w:pPr>
        <w:sectPr>
          <w:headerReference w:type="default" r:id="rId11"/>
          <w:footnotePr>
            <w:pos w:val="pageBottom"/>
            <w:numFmt w:val="decimal"/>
            <w:numStart w:val="2"/>
            <w:numRestart w:val="continuous"/>
            <w15:footnoteColumns w:val="1"/>
          </w:footnotePr>
          <w:pgSz w:w="8887" w:h="13183"/>
          <w:pgMar w:top="440" w:right="845" w:bottom="440" w:left="451" w:header="12" w:footer="12" w:gutter="0"/>
          <w:pgNumType w:start="7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ИНФОРМАЦИОННЫЕ ДАННЫЕ</w:t>
      </w:r>
    </w:p>
    <w:p>
      <w:pPr>
        <w:pStyle w:val="Style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90" w:val="left"/>
        </w:tabs>
        <w:bidi w:val="0"/>
        <w:spacing w:before="0" w:after="0" w:line="346" w:lineRule="auto"/>
        <w:ind w:left="420" w:right="0" w:hanging="18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РАЗРАБОТАН И ВНЕСЕН Министерством металлургии СССР РАЗРАБОТЧИКИ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4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И. И. Барашкин, Н. А. Чирков, Г. Б. Крушина</w:t>
      </w:r>
    </w:p>
    <w:p>
      <w:pPr>
        <w:pStyle w:val="Style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02" w:val="left"/>
        </w:tabs>
        <w:bidi w:val="0"/>
        <w:spacing w:before="0" w:after="100" w:line="214" w:lineRule="auto"/>
        <w:ind w:left="420" w:right="0" w:hanging="18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УТВЕРЖДЕН И ВВЕДЕН В ДЕЙСТВИЕ ПОСТАНОВЛЕ</w:t>
        <w:softHyphen/>
        <w:t>НИЕМ Государственного комитета СССР по управлению ка</w:t>
        <w:softHyphen/>
        <w:t>чеством продукции и стандартам от 17.12.90 №3150</w:t>
      </w:r>
    </w:p>
    <w:p>
      <w:pPr>
        <w:pStyle w:val="Style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100" w:line="214" w:lineRule="auto"/>
        <w:ind w:left="420" w:right="0" w:hanging="28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Срок первой проверки — 1996 г. Периодичность проверки — 5 лет.</w:t>
      </w:r>
    </w:p>
    <w:p>
      <w:pPr>
        <w:pStyle w:val="Style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72" w:val="left"/>
        </w:tabs>
        <w:bidi w:val="0"/>
        <w:spacing w:before="0" w:after="100" w:line="223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Взамен ГОСТ 6008—82</w:t>
      </w:r>
    </w:p>
    <w:p>
      <w:pPr>
        <w:pStyle w:val="Style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62" w:val="left"/>
        </w:tabs>
        <w:bidi w:val="0"/>
        <w:spacing w:before="0" w:after="100" w:line="223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Стандарт полностью соответствует С Г СЭВ 497—89</w:t>
      </w:r>
    </w:p>
    <w:p>
      <w:pPr>
        <w:pStyle w:val="Style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18" w:val="left"/>
        </w:tabs>
        <w:bidi w:val="0"/>
        <w:spacing w:before="0" w:after="380" w:line="223" w:lineRule="auto"/>
        <w:ind w:left="360" w:right="0" w:hanging="2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ССЫЛОЧНЫЕ НОРМАТИВНО-ТЕХНИЧЕСКИЕ ДОКУМЕН</w:t>
        <w:softHyphen/>
        <w:t>ТЫ</w:t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240" w:line="182" w:lineRule="auto"/>
        <w:ind w:left="0" w:right="0" w:firstLine="0"/>
        <w:jc w:val="center"/>
        <w:rPr>
          <w:sz w:val="13"/>
          <w:szCs w:val="13"/>
        </w:rPr>
      </w:pPr>
      <w:r>
        <mc:AlternateContent>
          <mc:Choice Requires="wps">
            <w:drawing>
              <wp:anchor distT="0" distB="1421765" distL="446405" distR="114935" simplePos="0" relativeHeight="125829382" behindDoc="0" locked="0" layoutInCell="1" allowOverlap="1">
                <wp:simplePos x="0" y="0"/>
                <wp:positionH relativeFrom="page">
                  <wp:posOffset>3088005</wp:posOffset>
                </wp:positionH>
                <wp:positionV relativeFrom="paragraph">
                  <wp:posOffset>38100</wp:posOffset>
                </wp:positionV>
                <wp:extent cx="580390" cy="103505"/>
                <wp:wrapSquare wrapText="left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039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Номер пункта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43.15000000000001pt;margin-top:3.pt;width:45.700000000000003pt;height:8.1500000000000004pt;z-index:-125829371;mso-wrap-distance-left:35.149999999999999pt;mso-wrap-distance-right:9.0500000000000007pt;mso-wrap-distance-bottom:111.95pt;mso-position-horizontal-relative:page" filled="f" stroked="f">
                <v:textbox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Номер пункта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259080" distB="0" distL="114300" distR="355600" simplePos="0" relativeHeight="125829384" behindDoc="0" locked="0" layoutInCell="1" allowOverlap="1">
                <wp:simplePos x="0" y="0"/>
                <wp:positionH relativeFrom="page">
                  <wp:posOffset>2755900</wp:posOffset>
                </wp:positionH>
                <wp:positionV relativeFrom="paragraph">
                  <wp:posOffset>297180</wp:posOffset>
                </wp:positionV>
                <wp:extent cx="671830" cy="1266190"/>
                <wp:wrapSquare wrapText="left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1830" cy="1266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1253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 xml:space="preserve">1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251; 1,254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1256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32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32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32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32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2 4, 3 3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1 3, разд 4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2 2, ЗЛ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32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32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32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17.pt;margin-top:23.400000000000002pt;width:52.899999999999999pt;height:99.700000000000003pt;z-index:-125829369;mso-wrap-distance-left:9.pt;mso-wrap-distance-top:20.400000000000002pt;mso-wrap-distance-right:28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1253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7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 xml:space="preserve">1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251; 1,254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6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1256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6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32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32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4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32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6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32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3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2 4, 3 3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2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1 3, разд 4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6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2 2, ЗЛ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6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32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32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9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32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 w:val="0"/>
          <w:bCs w:val="0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Обозначение НТД, на который</w:t>
        <w:br/>
        <w:t>дана ссылка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80" w:line="209" w:lineRule="auto"/>
        <w:ind w:left="0" w:right="0" w:firstLine="14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ГОСТ 12 1 005—88 ГОСТ 12 1007—76 ГОСТ 12 1 044—89 ГОСТ 16698 1—71 ГОСТ 16698 4—71 ТОСТ 16698 5—71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IOCT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16698 13—84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Г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ОСТ 22310-84 1 ОСТ 26590—85 ’’ОСТ 26999—86 1ОСТ 27041—86 ГОСТ 27069—86 ГОСТ 28473-90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64" w:lineRule="auto"/>
        <w:ind w:left="0" w:right="0" w:firstLine="0"/>
        <w:jc w:val="center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Редактор 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И. В Виноградская</w:t>
        <w:br/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Технический редактор 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Н Прусакова</w:t>
        <w:br/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Корректор 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С Черная</w:t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ru-RU" w:eastAsia="ru-RU" w:bidi="ru-RU"/>
        </w:rPr>
        <w:t xml:space="preserve">Сдано в и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ru-RU" w:eastAsia="ru-RU" w:bidi="ru-RU"/>
        </w:rPr>
        <w:t xml:space="preserve">а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ru-RU" w:eastAsia="ru-RU" w:bidi="ru-RU"/>
        </w:rPr>
        <w:t xml:space="preserve">б. 03 0191 Поди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ru-RU" w:eastAsia="ru-RU" w:bidi="ru-RU"/>
        </w:rPr>
        <w:t xml:space="preserve">в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ntew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ru-RU" w:eastAsia="ru-RU" w:bidi="ru-RU"/>
        </w:rPr>
        <w:t xml:space="preserve">1106 91 0,5 усл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new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ru-RU" w:eastAsia="ru-RU" w:bidi="ru-RU"/>
        </w:rPr>
        <w:t xml:space="preserve">л 0,5 усл кр.-отт 0,39 уч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ru-RU" w:eastAsia="ru-RU" w:bidi="ru-RU"/>
        </w:rPr>
        <w:t>-ид л.</w:t>
      </w:r>
    </w:p>
    <w:p>
      <w:pPr>
        <w:pStyle w:val="Style4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5599" w:val="left"/>
        </w:tabs>
        <w:bidi w:val="0"/>
        <w:spacing w:before="0" w:after="10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6000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footnoteReference w:id="4"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к-</w:t>
      </w:r>
    </w:p>
    <w:sectPr>
      <w:headerReference w:type="default" r:id="rId12"/>
      <w:footnotePr>
        <w:pos w:val="pageBottom"/>
        <w:numFmt w:val="decimal"/>
        <w:numStart w:val="18"/>
        <w:numRestart w:val="continuous"/>
        <w15:footnoteColumns w:val="1"/>
      </w:footnotePr>
      <w:pgSz w:w="7238" w:h="10863"/>
      <w:pgMar w:top="1044" w:right="457" w:bottom="1044" w:left="644" w:header="0" w:footer="616" w:gutter="0"/>
      <w:pgNumType w:start="7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ru-RU" w:eastAsia="ru-RU" w:bidi="ru-RU"/>
        </w:rPr>
        <w:footnoteRef/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ru-RU" w:eastAsia="ru-RU" w:bidi="ru-RU"/>
        </w:rPr>
        <w:t xml:space="preserve"> ПРИЕМКА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2.1. Металлический марганец и азотированный марганец при</w:t>
        <w:softHyphen/>
        <w:t>нимают партиями. Партия должна состоять из марганца одной или нескольких плавок (садок) одной марки. Марганец марок</w:t>
      </w:r>
    </w:p>
  </w:footnote>
  <w:footnote w:id="4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ru-RU" w:eastAsia="ru-RU" w:bidi="ru-RU"/>
        </w:rPr>
        <w:t>Ордена «Знак Почета» Издательство стандартов, 123557, Москва, ГСП, Новопресненский нер,, 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center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ru-RU" w:eastAsia="ru-RU" w:bidi="ru-RU"/>
        </w:rPr>
        <w:t>Тип «Московский печатник» Москва, Лялин пер , 6 Зак 4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1" behindDoc="1" locked="0" layoutInCell="1" allowOverlap="1">
              <wp:simplePos x="0" y="0"/>
              <wp:positionH relativeFrom="page">
                <wp:posOffset>3296285</wp:posOffset>
              </wp:positionH>
              <wp:positionV relativeFrom="page">
                <wp:posOffset>146050</wp:posOffset>
              </wp:positionV>
              <wp:extent cx="1005840" cy="8572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0584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ru-RU" w:eastAsia="ru-RU" w:bidi="ru-RU"/>
                            </w:rPr>
                            <w:t xml:space="preserve">ГОСТ 6008—90 С. 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59.55000000000001pt;margin-top:11.5pt;width:79.200000000000003pt;height:6.75pt;z-index:-1887440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ru-RU" w:eastAsia="ru-RU" w:bidi="ru-RU"/>
                      </w:rPr>
                      <w:t xml:space="preserve">ГОСТ 6008—90 С. 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3305175</wp:posOffset>
              </wp:positionH>
              <wp:positionV relativeFrom="page">
                <wp:posOffset>511810</wp:posOffset>
              </wp:positionV>
              <wp:extent cx="883920" cy="7493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83920" cy="74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ru-RU" w:eastAsia="ru-RU" w:bidi="ru-RU"/>
                            </w:rPr>
                            <w:t xml:space="preserve">ГОСТ 6008—90 С. 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60.25pt;margin-top:40.300000000000004pt;width:69.600000000000009pt;height:5.9000000000000004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ru-RU" w:eastAsia="ru-RU" w:bidi="ru-RU"/>
                      </w:rPr>
                      <w:t xml:space="preserve">ГОСТ 6008—90 С. 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440055</wp:posOffset>
              </wp:positionV>
              <wp:extent cx="915670" cy="7493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15670" cy="74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ru-RU" w:eastAsia="ru-RU" w:bidi="ru-RU"/>
                            </w:rPr>
                            <w:t xml:space="preserve">С. 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ru-RU" w:eastAsia="ru-RU" w:bidi="ru-RU"/>
                            </w:rPr>
                            <w:t xml:space="preserve"> ГОСГ 6008—90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39.100000000000001pt;margin-top:34.649999999999999pt;width:72.100000000000009pt;height:5.9000000000000004pt;z-index:-1887440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ru-RU" w:eastAsia="ru-RU" w:bidi="ru-RU"/>
                      </w:rPr>
                      <w:t xml:space="preserve">С. 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ru-RU" w:eastAsia="ru-RU" w:bidi="ru-RU"/>
                      </w:rPr>
                      <w:t xml:space="preserve"> ГОСГ 6008—90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504190</wp:posOffset>
              </wp:positionH>
              <wp:positionV relativeFrom="page">
                <wp:posOffset>419100</wp:posOffset>
              </wp:positionV>
              <wp:extent cx="908050" cy="7620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0805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С. 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 ГОСТ 6008-90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39.700000000000003pt;margin-top:33.pt;width:71.5pt;height:6.pt;z-index:-1887440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С. 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 ГОСТ 6008-90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504190</wp:posOffset>
              </wp:positionH>
              <wp:positionV relativeFrom="page">
                <wp:posOffset>419100</wp:posOffset>
              </wp:positionV>
              <wp:extent cx="908050" cy="7620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0805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С. 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 ГОСТ 6008-90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39.700000000000003pt;margin-top:33.pt;width:71.5pt;height:6.pt;z-index:-1887440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С. 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 ГОСТ 6008-90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start w:val="1"/>
      <w:numFmt w:val="decimal"/>
      <w:lvlText w:val="%1.%2.%3.%4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1"/>
      <w:numFmt w:val="decimal"/>
      <w:lvlText w:val="%1."/>
    </w:lvl>
    <w:lvl w:ilvl="1">
      <w:start w:val="2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</w:abstractNum>
  <w:abstractNum w:abstractNumId="4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</w:abstractNum>
  <w:abstractNum w:abstractNumId="6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ru-RU" w:eastAsia="ru-RU" w:bidi="ru-RU"/>
      </w:rPr>
    </w:lvl>
    <w:lvl w:ilvl="1">
      <w:start w:val="5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Сноска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Основной текст (4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CharStyle11">
    <w:name w:val="Заголовок №2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22"/>
      <w:szCs w:val="22"/>
      <w:u w:val="none"/>
    </w:rPr>
  </w:style>
  <w:style w:type="character" w:customStyle="1" w:styleId="CharStyle13">
    <w:name w:val="Основной текст (2)_"/>
    <w:basedOn w:val="DefaultParagraphFont"/>
    <w:link w:val="Style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5">
    <w:name w:val="Заголовок №1_"/>
    <w:basedOn w:val="DefaultParagraphFont"/>
    <w:link w:val="Style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7">
    <w:name w:val="Основной текст (5)_"/>
    <w:basedOn w:val="DefaultParagraphFont"/>
    <w:link w:val="Style16"/>
    <w:rPr>
      <w:rFonts w:ascii="Cambria" w:eastAsia="Cambria" w:hAnsi="Cambria" w:cs="Cambr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20">
    <w:name w:val="Основной текст (6)_"/>
    <w:basedOn w:val="DefaultParagraphFont"/>
    <w:link w:val="Style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22">
    <w:name w:val="Основной текст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7">
    <w:name w:val="Подпись к таблице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0">
    <w:name w:val="Другое_"/>
    <w:basedOn w:val="DefaultParagraphFont"/>
    <w:link w:val="Style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34">
    <w:name w:val="Колонтитул (2)_"/>
    <w:basedOn w:val="DefaultParagraphFont"/>
    <w:link w:val="Styl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5">
    <w:name w:val="Основной текст (3)_"/>
    <w:basedOn w:val="DefaultParagraphFont"/>
    <w:link w:val="Style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2">
    <w:name w:val="Сноска"/>
    <w:basedOn w:val="Normal"/>
    <w:link w:val="CharStyle3"/>
    <w:pPr>
      <w:widowControl w:val="0"/>
      <w:shd w:val="clear" w:color="auto" w:fill="auto"/>
      <w:spacing w:line="209" w:lineRule="auto"/>
      <w:ind w:firstLine="1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Основной текст (4)"/>
    <w:basedOn w:val="Normal"/>
    <w:link w:val="CharStyle7"/>
    <w:pPr>
      <w:widowControl w:val="0"/>
      <w:shd w:val="clear" w:color="auto" w:fill="auto"/>
      <w:spacing w:after="180" w:line="21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paragraph" w:customStyle="1" w:styleId="Style10">
    <w:name w:val="Заголовок №2"/>
    <w:basedOn w:val="Normal"/>
    <w:link w:val="CharStyle11"/>
    <w:pPr>
      <w:widowControl w:val="0"/>
      <w:shd w:val="clear" w:color="auto" w:fill="auto"/>
      <w:spacing w:after="60" w:line="283" w:lineRule="auto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22"/>
      <w:szCs w:val="22"/>
      <w:u w:val="none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auto"/>
      <w:spacing w:after="150" w:line="211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Style14">
    <w:name w:val="Заголовок №1"/>
    <w:basedOn w:val="Normal"/>
    <w:link w:val="CharStyle15"/>
    <w:pPr>
      <w:widowControl w:val="0"/>
      <w:shd w:val="clear" w:color="auto" w:fill="auto"/>
      <w:spacing w:after="190" w:line="305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16">
    <w:name w:val="Основной текст (5)"/>
    <w:basedOn w:val="Normal"/>
    <w:link w:val="CharStyle17"/>
    <w:pPr>
      <w:widowControl w:val="0"/>
      <w:shd w:val="clear" w:color="auto" w:fill="auto"/>
      <w:spacing w:line="283" w:lineRule="auto"/>
      <w:jc w:val="center"/>
    </w:pPr>
    <w:rPr>
      <w:rFonts w:ascii="Cambria" w:eastAsia="Cambria" w:hAnsi="Cambria" w:cs="Cambria"/>
      <w:b/>
      <w:bCs/>
      <w:i w:val="0"/>
      <w:iCs w:val="0"/>
      <w:smallCaps w:val="0"/>
      <w:strike w:val="0"/>
      <w:sz w:val="14"/>
      <w:szCs w:val="14"/>
      <w:u w:val="none"/>
    </w:rPr>
  </w:style>
  <w:style w:type="paragraph" w:customStyle="1" w:styleId="Style19">
    <w:name w:val="Основной текст (6)"/>
    <w:basedOn w:val="Normal"/>
    <w:link w:val="CharStyle20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paragraph" w:customStyle="1" w:styleId="Style21">
    <w:name w:val="Основной текст"/>
    <w:basedOn w:val="Normal"/>
    <w:link w:val="CharStyle22"/>
    <w:pPr>
      <w:widowControl w:val="0"/>
      <w:shd w:val="clear" w:color="auto" w:fill="auto"/>
      <w:ind w:firstLine="3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6">
    <w:name w:val="Подпись к таблице"/>
    <w:basedOn w:val="Normal"/>
    <w:link w:val="CharStyle2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9">
    <w:name w:val="Другое"/>
    <w:basedOn w:val="Normal"/>
    <w:link w:val="CharStyle30"/>
    <w:pPr>
      <w:widowControl w:val="0"/>
      <w:shd w:val="clear" w:color="auto" w:fill="auto"/>
      <w:ind w:firstLine="3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33">
    <w:name w:val="Колонтитул (2)"/>
    <w:basedOn w:val="Normal"/>
    <w:link w:val="CharStyle34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4">
    <w:name w:val="Основной текст (3)"/>
    <w:basedOn w:val="Normal"/>
    <w:link w:val="CharStyle45"/>
    <w:pPr>
      <w:widowControl w:val="0"/>
      <w:shd w:val="clear" w:color="auto" w:fill="auto"/>
      <w:spacing w:after="17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>Скачать ГОСТ 6008-90 Марганец металлический и марганец азотированный. Технические условия</dc:title>
  <dc:subject>ГОСТ 6008-90 GOST 6008-90 Марганец металлический и марганец азотированный. Технические условия Metallic manganese and nitrated manganese. Specifications</dc:subject>
  <dc:creator>Ёшкин Кот</dc:creator>
  <cp:keywords>Стандарт распространяется на металлический марганец и азотированный металлический марганец, применяемый для легирования специальных сталей и сплавов, а также в химической промышленности. 1 Технические требования
2 Приемка
3 Методы контроля
4 Транспортирование и хранение
Приложение Нормативы содержания марганца в объемах окружающей среды (ПДК)</cp:keywords>
</cp:coreProperties>
</file>