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28144" w14:textId="311BCA22" w:rsidR="00EA423B" w:rsidRDefault="00203003" w:rsidP="00EA423B">
      <w:pPr>
        <w:pStyle w:val="Nadpis4"/>
      </w:pPr>
      <w:r>
        <w:t xml:space="preserve">(od verze </w:t>
      </w:r>
      <w:r w:rsidR="00BB2F2E">
        <w:t>4.70.1.24</w:t>
      </w:r>
      <w:r w:rsidR="00EA423B">
        <w:t>)</w:t>
      </w:r>
    </w:p>
    <w:p w14:paraId="2AE28145" w14:textId="3BE5C1D9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</w:t>
      </w:r>
      <w:r w:rsidR="00BB2F2E">
        <w:rPr>
          <w:sz w:val="24"/>
          <w:szCs w:val="24"/>
        </w:rPr>
        <w:t xml:space="preserve">popisu funkce orámování dostupné prostřednictvím sekce orámování panelu nástrojů aplikace NS nebo položky </w:t>
      </w:r>
      <w:r w:rsidR="00BB2F2E" w:rsidRPr="00BB2F2E">
        <w:rPr>
          <w:i/>
          <w:sz w:val="24"/>
          <w:szCs w:val="24"/>
        </w:rPr>
        <w:t>orámování</w:t>
      </w:r>
      <w:r w:rsidR="00BB2F2E">
        <w:rPr>
          <w:sz w:val="24"/>
          <w:szCs w:val="24"/>
        </w:rPr>
        <w:t xml:space="preserve"> sekce </w:t>
      </w:r>
      <w:r w:rsidR="00BB2F2E" w:rsidRPr="00BB2F2E">
        <w:rPr>
          <w:b/>
          <w:i/>
          <w:sz w:val="24"/>
          <w:szCs w:val="24"/>
        </w:rPr>
        <w:t>Formát</w:t>
      </w:r>
      <w:r w:rsidR="00BB2F2E">
        <w:rPr>
          <w:sz w:val="24"/>
          <w:szCs w:val="24"/>
        </w:rPr>
        <w:t xml:space="preserve"> hlavní nabídky aplikace. Tento popis platí pouze pro grafické sestavy.</w:t>
      </w:r>
    </w:p>
    <w:p w14:paraId="2AE28146" w14:textId="77777777" w:rsidR="00B21DA0" w:rsidRDefault="00B21DA0" w:rsidP="00B21DA0">
      <w:pPr>
        <w:pStyle w:val="Nadpis1"/>
      </w:pPr>
      <w:r>
        <w:t>Popis</w:t>
      </w:r>
    </w:p>
    <w:p w14:paraId="1596CB86" w14:textId="77777777" w:rsidR="00BB2F2E" w:rsidRDefault="00BB2F2E" w:rsidP="00BB2F2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Ke zpracování orámování vybraných objektů má uživatel k dispozici </w:t>
      </w:r>
      <w:r>
        <w:rPr>
          <w:sz w:val="24"/>
          <w:szCs w:val="24"/>
        </w:rPr>
        <w:t>buď</w:t>
      </w:r>
      <w:r>
        <w:rPr>
          <w:sz w:val="24"/>
          <w:szCs w:val="24"/>
        </w:rPr>
        <w:t xml:space="preserve"> nástroje </w:t>
      </w:r>
      <w:r>
        <w:rPr>
          <w:sz w:val="24"/>
          <w:szCs w:val="24"/>
        </w:rPr>
        <w:t xml:space="preserve">orámování </w:t>
      </w:r>
      <w:r>
        <w:rPr>
          <w:sz w:val="24"/>
          <w:szCs w:val="24"/>
        </w:rPr>
        <w:t>(</w:t>
      </w:r>
      <w:r>
        <w:rPr>
          <w:sz w:val="24"/>
          <w:szCs w:val="24"/>
        </w:rPr>
        <w:t>dále jen NO</w:t>
      </w:r>
      <w:r>
        <w:rPr>
          <w:sz w:val="24"/>
          <w:szCs w:val="24"/>
        </w:rPr>
        <w:t xml:space="preserve">) na </w:t>
      </w:r>
      <w:r>
        <w:rPr>
          <w:sz w:val="24"/>
          <w:szCs w:val="24"/>
        </w:rPr>
        <w:t xml:space="preserve">panelu </w:t>
      </w:r>
      <w:r>
        <w:rPr>
          <w:sz w:val="24"/>
          <w:szCs w:val="24"/>
        </w:rPr>
        <w:t>nástrojů (horní lišta hlavního okna aplikace)</w:t>
      </w:r>
      <w:r>
        <w:rPr>
          <w:sz w:val="24"/>
          <w:szCs w:val="24"/>
        </w:rPr>
        <w:t xml:space="preserve"> </w:t>
      </w:r>
    </w:p>
    <w:p w14:paraId="01B9B204" w14:textId="4BEF01CB" w:rsidR="00BB2F2E" w:rsidRDefault="00BB2F2E" w:rsidP="00BB2F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24A762" wp14:editId="383634E4">
            <wp:extent cx="5443855" cy="233680"/>
            <wp:effectExtent l="19050" t="0" r="4445" b="0"/>
            <wp:docPr id="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A6FAE" w14:textId="550A8A60" w:rsidR="00BB2F2E" w:rsidRDefault="00BB2F2E" w:rsidP="00BB2F2E">
      <w:pPr>
        <w:ind w:firstLine="567"/>
        <w:rPr>
          <w:sz w:val="24"/>
          <w:szCs w:val="24"/>
        </w:rPr>
      </w:pPr>
      <w:r>
        <w:rPr>
          <w:sz w:val="24"/>
          <w:szCs w:val="24"/>
        </w:rPr>
        <w:t>nebo odpovídající položky orámování sekce Formát hlavní nabídky aplikace</w:t>
      </w:r>
    </w:p>
    <w:p w14:paraId="53A78BE9" w14:textId="12F67F1C" w:rsidR="00BB2F2E" w:rsidRDefault="00BB2F2E" w:rsidP="00BB2F2E">
      <w:pPr>
        <w:jc w:val="center"/>
      </w:pPr>
      <w:r>
        <w:rPr>
          <w:noProof/>
        </w:rPr>
        <w:drawing>
          <wp:inline distT="0" distB="0" distL="0" distR="0" wp14:anchorId="157720DA" wp14:editId="16341035">
            <wp:extent cx="4352925" cy="2886075"/>
            <wp:effectExtent l="0" t="0" r="9525" b="9525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3259" w14:textId="2D95C9D5" w:rsidR="00BB2F2E" w:rsidRDefault="00BB2F2E" w:rsidP="00BB2F2E">
      <w:pPr>
        <w:ind w:firstLine="567"/>
      </w:pPr>
      <w:r>
        <w:t>Jelikož funkce položek hlavní nabídky aplikace je stejná jak u tlačítek nástrojové lišty, nadále budeme popisovat pouze funkčnost těchto tlačítek.</w:t>
      </w:r>
    </w:p>
    <w:p w14:paraId="7B4723E6" w14:textId="77777777" w:rsidR="00BB2F2E" w:rsidRDefault="00BB2F2E" w:rsidP="00BB2F2E">
      <w:pPr>
        <w:ind w:firstLine="567"/>
        <w:rPr>
          <w:sz w:val="24"/>
          <w:szCs w:val="24"/>
        </w:rPr>
      </w:pPr>
      <w:r>
        <w:rPr>
          <w:sz w:val="24"/>
          <w:szCs w:val="24"/>
        </w:rPr>
        <w:t>V závislosti na formátu sestavy se může zobrazit i krátká verze nástrojů, a sice</w:t>
      </w:r>
    </w:p>
    <w:p w14:paraId="73392098" w14:textId="77777777" w:rsidR="00BB2F2E" w:rsidRDefault="00BB2F2E" w:rsidP="00BB2F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070FAD" wp14:editId="51F132CB">
            <wp:extent cx="4518660" cy="233680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D66A2" w14:textId="640AD754" w:rsidR="00BB2F2E" w:rsidRDefault="00BB2F2E" w:rsidP="00BB2F2E">
      <w:pPr>
        <w:pStyle w:val="Nadpis1"/>
      </w:pPr>
      <w:r>
        <w:t>Funkcionalita</w:t>
      </w:r>
    </w:p>
    <w:p w14:paraId="0EF3AB0D" w14:textId="5622BA19" w:rsidR="00BB2F2E" w:rsidRDefault="00BB2F2E" w:rsidP="00BB2F2E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Popíšeme funkcionalitu nástrojů, které máme k dispozici:</w:t>
      </w:r>
    </w:p>
    <w:p w14:paraId="0D4A3544" w14:textId="6C3EDC0D" w:rsidR="00BB2F2E" w:rsidRDefault="00BB2F2E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BB2F2E">
        <w:rPr>
          <w:rFonts w:ascii="Bodoni MT" w:hAnsi="Bodoni MT"/>
          <w:sz w:val="24"/>
          <w:szCs w:val="24"/>
        </w:rPr>
        <w:t>n</w:t>
      </w:r>
      <w:r w:rsidRPr="00BB2F2E">
        <w:rPr>
          <w:rFonts w:ascii="Bodoni MT" w:hAnsi="Bodoni MT"/>
          <w:sz w:val="24"/>
          <w:szCs w:val="24"/>
        </w:rPr>
        <w:t>astavení ší</w:t>
      </w:r>
      <w:r w:rsidRPr="00BB2F2E">
        <w:rPr>
          <w:rFonts w:ascii="Cambria" w:hAnsi="Cambria" w:cs="Cambria"/>
          <w:sz w:val="24"/>
          <w:szCs w:val="24"/>
        </w:rPr>
        <w:t>ř</w:t>
      </w:r>
      <w:r w:rsidRPr="00BB2F2E">
        <w:rPr>
          <w:rFonts w:ascii="Bodoni MT" w:hAnsi="Bodoni MT"/>
          <w:sz w:val="24"/>
          <w:szCs w:val="24"/>
        </w:rPr>
        <w:t>ky</w:t>
      </w:r>
      <w:r w:rsidRPr="00BB2F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7408DECF" wp14:editId="13589587">
            <wp:extent cx="765810" cy="233680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BB2F2E">
        <w:rPr>
          <w:sz w:val="24"/>
          <w:szCs w:val="24"/>
        </w:rPr>
        <w:t xml:space="preserve">– zde uživatel buď vybere předdefinovanou velikost šířky, nebo vepíše vlastní velikost a to </w:t>
      </w:r>
      <w:r w:rsidRPr="00BB2F2E">
        <w:rPr>
          <w:sz w:val="24"/>
          <w:szCs w:val="24"/>
        </w:rPr>
        <w:t>buď s, nebo</w:t>
      </w:r>
      <w:r w:rsidRPr="00BB2F2E">
        <w:rPr>
          <w:sz w:val="24"/>
          <w:szCs w:val="24"/>
        </w:rPr>
        <w:t xml:space="preserve"> </w:t>
      </w:r>
      <w:r>
        <w:rPr>
          <w:sz w:val="24"/>
          <w:szCs w:val="24"/>
        </w:rPr>
        <w:t>bez metriky;</w:t>
      </w:r>
      <w:r w:rsidRPr="00BB2F2E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BB2F2E">
        <w:rPr>
          <w:sz w:val="24"/>
          <w:szCs w:val="24"/>
        </w:rPr>
        <w:t xml:space="preserve">apř. </w:t>
      </w:r>
      <w:r w:rsidRPr="00BB2F2E">
        <w:rPr>
          <w:rFonts w:ascii="Arial Narrow" w:hAnsi="Arial Narrow"/>
          <w:i/>
          <w:sz w:val="24"/>
          <w:szCs w:val="24"/>
        </w:rPr>
        <w:t>5</w:t>
      </w:r>
      <w:r w:rsidRPr="00BB2F2E">
        <w:rPr>
          <w:sz w:val="24"/>
          <w:szCs w:val="24"/>
          <w:lang w:val="en-US"/>
        </w:rPr>
        <w:t xml:space="preserve">, </w:t>
      </w:r>
      <w:r w:rsidRPr="00BB2F2E">
        <w:rPr>
          <w:rFonts w:ascii="Arial Narrow" w:hAnsi="Arial Narrow"/>
          <w:i/>
          <w:sz w:val="24"/>
          <w:szCs w:val="24"/>
          <w:lang w:val="en-US"/>
        </w:rPr>
        <w:t>7tw</w:t>
      </w:r>
      <w:r w:rsidRPr="00BB2F2E">
        <w:rPr>
          <w:sz w:val="24"/>
          <w:szCs w:val="24"/>
          <w:lang w:val="en-US"/>
        </w:rPr>
        <w:t xml:space="preserve">, </w:t>
      </w:r>
      <w:r w:rsidRPr="00BB2F2E">
        <w:rPr>
          <w:rFonts w:ascii="Arial Narrow" w:hAnsi="Arial Narrow"/>
          <w:i/>
          <w:sz w:val="24"/>
          <w:szCs w:val="24"/>
          <w:lang w:val="en-US"/>
        </w:rPr>
        <w:t>1mm</w:t>
      </w:r>
      <w:r w:rsidRPr="00BB2F2E">
        <w:rPr>
          <w:sz w:val="24"/>
          <w:szCs w:val="24"/>
        </w:rPr>
        <w:t xml:space="preserve"> atd.;</w:t>
      </w:r>
    </w:p>
    <w:p w14:paraId="75970A0A" w14:textId="406D9607" w:rsidR="00BB2F2E" w:rsidRDefault="00BB2F2E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BB2F2E">
        <w:rPr>
          <w:rFonts w:ascii="Bodoni MT" w:hAnsi="Bodoni MT"/>
          <w:sz w:val="24"/>
          <w:szCs w:val="24"/>
        </w:rPr>
        <w:lastRenderedPageBreak/>
        <w:t>n</w:t>
      </w:r>
      <w:r w:rsidRPr="00BB2F2E">
        <w:rPr>
          <w:rFonts w:ascii="Bodoni MT" w:hAnsi="Bodoni MT"/>
          <w:sz w:val="24"/>
          <w:szCs w:val="24"/>
        </w:rPr>
        <w:t>astavení stylu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6257FFA8" wp14:editId="64F7C0DF">
            <wp:extent cx="1180465" cy="233680"/>
            <wp:effectExtent l="19050" t="0" r="63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zde uživatel může pouze vybrat jeden z předdefinovaných stylů, jakýkoliv jiný než předdefinovaný st</w:t>
      </w:r>
      <w:r>
        <w:rPr>
          <w:sz w:val="24"/>
          <w:szCs w:val="24"/>
        </w:rPr>
        <w:t xml:space="preserve">yl bude považován za styl </w:t>
      </w:r>
      <w:r w:rsidRPr="00BB2F2E">
        <w:rPr>
          <w:rFonts w:ascii="Arial Narrow" w:hAnsi="Arial Narrow"/>
          <w:i/>
          <w:sz w:val="24"/>
          <w:szCs w:val="24"/>
        </w:rPr>
        <w:t>plná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dostupné styly jsou </w:t>
      </w:r>
      <w:r>
        <w:rPr>
          <w:noProof/>
        </w:rPr>
        <w:drawing>
          <wp:inline distT="0" distB="0" distL="0" distR="0" wp14:anchorId="23C46C7C" wp14:editId="41828B6B">
            <wp:extent cx="1152525" cy="7334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14:paraId="472154DF" w14:textId="7EDFF62F" w:rsidR="00BB2F2E" w:rsidRPr="004701A5" w:rsidRDefault="00BB2F2E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BB2F2E">
        <w:rPr>
          <w:rFonts w:ascii="Bodoni MT" w:hAnsi="Bodoni MT"/>
          <w:sz w:val="24"/>
          <w:szCs w:val="24"/>
        </w:rPr>
        <w:t>n</w:t>
      </w:r>
      <w:r w:rsidRPr="00BB2F2E">
        <w:rPr>
          <w:rFonts w:ascii="Bodoni MT" w:hAnsi="Bodoni MT"/>
          <w:sz w:val="24"/>
          <w:szCs w:val="24"/>
        </w:rPr>
        <w:t>astavení barvy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noProof/>
          <w:sz w:val="24"/>
          <w:szCs w:val="24"/>
        </w:rPr>
        <w:drawing>
          <wp:inline distT="0" distB="0" distL="0" distR="0" wp14:anchorId="67115F9A" wp14:editId="208D8E75">
            <wp:extent cx="1158875" cy="233680"/>
            <wp:effectExtent l="19050" t="0" r="317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zde uživatel buď vybere předdefinovanou barvu, nebo vepíše vlastní, a to ve tvaru </w:t>
      </w:r>
      <w:r w:rsidRPr="004701A5">
        <w:rPr>
          <w:rFonts w:ascii="Arial Narrow" w:hAnsi="Arial Narrow"/>
          <w:sz w:val="24"/>
          <w:szCs w:val="24"/>
          <w:lang w:val="en-US"/>
        </w:rPr>
        <w:t>#RRGGBB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např. </w:t>
      </w:r>
      <w:r w:rsidRPr="004701A5">
        <w:rPr>
          <w:rFonts w:ascii="Arial Narrow" w:hAnsi="Arial Narrow"/>
          <w:sz w:val="24"/>
          <w:szCs w:val="24"/>
          <w:lang w:val="en-US"/>
        </w:rPr>
        <w:t>#</w:t>
      </w:r>
      <w:r w:rsidRPr="004701A5">
        <w:rPr>
          <w:rFonts w:ascii="Arial Narrow" w:hAnsi="Arial Narrow"/>
          <w:sz w:val="24"/>
          <w:szCs w:val="24"/>
        </w:rPr>
        <w:t>90ee90</w:t>
      </w:r>
      <w:r>
        <w:rPr>
          <w:sz w:val="24"/>
          <w:szCs w:val="24"/>
          <w:lang w:val="en-US"/>
        </w:rPr>
        <w:t>;</w:t>
      </w:r>
    </w:p>
    <w:p w14:paraId="0B659B69" w14:textId="782B6568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žádné</w:t>
      </w:r>
      <w:r w:rsidRPr="004701A5">
        <w:rPr>
          <w:rFonts w:ascii="Bodoni MT" w:hAnsi="Bodoni MT"/>
          <w:sz w:val="24"/>
          <w:szCs w:val="24"/>
        </w:rPr>
        <w:t xml:space="preserve">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7A5E93">
        <w:rPr>
          <w:noProof/>
          <w:sz w:val="24"/>
          <w:szCs w:val="24"/>
        </w:rPr>
        <w:drawing>
          <wp:inline distT="0" distB="0" distL="0" distR="0" wp14:anchorId="4AE59C28" wp14:editId="65A48C27">
            <wp:extent cx="201930" cy="212725"/>
            <wp:effectExtent l="19050" t="0" r="7620" b="0"/>
            <wp:docPr id="2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kliknutím na tlačítko se zruší rámeček vybraných objektů;</w:t>
      </w:r>
    </w:p>
    <w:p w14:paraId="068F7C97" w14:textId="443B8BDF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orámovat dokola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5CEC1866" wp14:editId="6870E8FA">
            <wp:extent cx="233680" cy="223520"/>
            <wp:effectExtent l="1905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</w:t>
      </w:r>
      <w:r>
        <w:rPr>
          <w:sz w:val="24"/>
          <w:szCs w:val="24"/>
        </w:rPr>
        <w:t xml:space="preserve"> vybrané objekty dokola orámují;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 závislosti na formátu sestavy se výsledky různí (viz. </w:t>
      </w:r>
      <w:hyperlink w:anchor="_Specifika_použití_nástrojů" w:history="1">
        <w:r w:rsidRPr="00A309E8">
          <w:rPr>
            <w:rStyle w:val="Hypertextovodkaz"/>
            <w:sz w:val="24"/>
            <w:szCs w:val="24"/>
          </w:rPr>
          <w:t>Specifika použití nástrojů NO</w:t>
        </w:r>
      </w:hyperlink>
      <w:r>
        <w:rPr>
          <w:sz w:val="24"/>
          <w:szCs w:val="24"/>
        </w:rPr>
        <w:t>);</w:t>
      </w:r>
    </w:p>
    <w:p w14:paraId="1FF57D81" w14:textId="7C55986B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levé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02EF0080" wp14:editId="25F2F190">
            <wp:extent cx="233680" cy="233680"/>
            <wp:effectExtent l="1905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kliknutím na tlačítko se provede orámování vybraných objektů po levé straně;</w:t>
      </w:r>
    </w:p>
    <w:p w14:paraId="2213BF91" w14:textId="0F9CE052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pravé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3BB7BBFC" wp14:editId="12B37F34">
            <wp:extent cx="233680" cy="212725"/>
            <wp:effectExtent l="1905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kliknutím na tlačítko se provede orámování vybraných objektů po pravé straně;</w:t>
      </w:r>
    </w:p>
    <w:p w14:paraId="105657E0" w14:textId="0A53D6B0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horní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41652D85" wp14:editId="61902ABF">
            <wp:extent cx="212725" cy="223520"/>
            <wp:effectExtent l="1905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kliknutím na tlačítko se provede orámování vybraných objektů na horní straně;</w:t>
      </w:r>
    </w:p>
    <w:p w14:paraId="4D5FE27F" w14:textId="482FDE09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dolní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5402EAF0" wp14:editId="0EFBD4FA">
            <wp:extent cx="233680" cy="212725"/>
            <wp:effectExtent l="19050" t="0" r="0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 provede orámování vybraných objektů na spodní straně;</w:t>
      </w:r>
    </w:p>
    <w:p w14:paraId="6F65DC41" w14:textId="15C6A2CE" w:rsidR="004701A5" w:rsidRDefault="004701A5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4701A5">
        <w:rPr>
          <w:rFonts w:ascii="Bodoni MT" w:hAnsi="Bodoni MT"/>
          <w:sz w:val="24"/>
          <w:szCs w:val="24"/>
        </w:rPr>
        <w:t>vnit</w:t>
      </w:r>
      <w:r w:rsidRPr="004701A5">
        <w:rPr>
          <w:rFonts w:ascii="Cambria" w:hAnsi="Cambria" w:cs="Cambria"/>
          <w:sz w:val="24"/>
          <w:szCs w:val="24"/>
        </w:rPr>
        <w:t>ř</w:t>
      </w:r>
      <w:r w:rsidRPr="004701A5">
        <w:rPr>
          <w:rFonts w:ascii="Bodoni MT" w:hAnsi="Bodoni MT"/>
          <w:sz w:val="24"/>
          <w:szCs w:val="24"/>
        </w:rPr>
        <w:t>n</w:t>
      </w:r>
      <w:r w:rsidRPr="004701A5">
        <w:rPr>
          <w:rFonts w:ascii="Bodoni MT" w:hAnsi="Bodoni MT" w:cs="Bodoni MT"/>
          <w:sz w:val="24"/>
          <w:szCs w:val="24"/>
        </w:rPr>
        <w:t>í</w:t>
      </w:r>
      <w:r w:rsidRPr="004701A5">
        <w:rPr>
          <w:rFonts w:ascii="Bodoni MT" w:hAnsi="Bodoni MT"/>
          <w:sz w:val="24"/>
          <w:szCs w:val="24"/>
        </w:rPr>
        <w:t xml:space="preserve"> or</w:t>
      </w:r>
      <w:r w:rsidRPr="004701A5">
        <w:rPr>
          <w:rFonts w:ascii="Bodoni MT" w:hAnsi="Bodoni MT" w:cs="Bodoni MT"/>
          <w:sz w:val="24"/>
          <w:szCs w:val="24"/>
        </w:rPr>
        <w:t>á</w:t>
      </w:r>
      <w:r w:rsidRPr="004701A5">
        <w:rPr>
          <w:rFonts w:ascii="Bodoni MT" w:hAnsi="Bodoni MT"/>
          <w:sz w:val="24"/>
          <w:szCs w:val="24"/>
        </w:rPr>
        <w:t>mov</w:t>
      </w:r>
      <w:r w:rsidRPr="004701A5">
        <w:rPr>
          <w:rFonts w:ascii="Bodoni MT" w:hAnsi="Bodoni MT" w:cs="Bodoni MT"/>
          <w:sz w:val="24"/>
          <w:szCs w:val="24"/>
        </w:rPr>
        <w:t>á</w:t>
      </w:r>
      <w:r w:rsidRPr="004701A5">
        <w:rPr>
          <w:rFonts w:ascii="Bodoni MT" w:hAnsi="Bodoni MT"/>
          <w:sz w:val="24"/>
          <w:szCs w:val="24"/>
        </w:rPr>
        <w:t>n</w:t>
      </w:r>
      <w:r w:rsidRPr="004701A5">
        <w:rPr>
          <w:rFonts w:ascii="Bodoni MT" w:hAnsi="Bodoni MT" w:cs="Bodoni MT"/>
          <w:sz w:val="24"/>
          <w:szCs w:val="24"/>
        </w:rPr>
        <w:t>í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45DCFF79" wp14:editId="4A41A28B">
            <wp:extent cx="233680" cy="223520"/>
            <wp:effectExtent l="19050" t="0" r="0" b="0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 provede orámování vnitřku skupiny vybraných objektů;</w:t>
      </w:r>
    </w:p>
    <w:p w14:paraId="00606439" w14:textId="0AB75697" w:rsidR="004701A5" w:rsidRDefault="00D310D7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D310D7">
        <w:rPr>
          <w:rFonts w:ascii="Bodoni MT" w:hAnsi="Bodoni MT"/>
          <w:sz w:val="24"/>
          <w:szCs w:val="24"/>
        </w:rPr>
        <w:t>dokola/vnit</w:t>
      </w:r>
      <w:r w:rsidRPr="00D310D7">
        <w:rPr>
          <w:rFonts w:ascii="Cambria" w:hAnsi="Cambria" w:cs="Cambria"/>
          <w:sz w:val="24"/>
          <w:szCs w:val="24"/>
        </w:rPr>
        <w:t>ř</w:t>
      </w:r>
      <w:r w:rsidRPr="00D310D7">
        <w:rPr>
          <w:rFonts w:ascii="Bodoni MT" w:hAnsi="Bodoni MT"/>
          <w:sz w:val="24"/>
          <w:szCs w:val="24"/>
        </w:rPr>
        <w:t>n</w:t>
      </w:r>
      <w:r w:rsidRPr="00D310D7">
        <w:rPr>
          <w:rFonts w:ascii="Bodoni MT" w:hAnsi="Bodoni MT" w:cs="Bodoni MT"/>
          <w:sz w:val="24"/>
          <w:szCs w:val="24"/>
        </w:rPr>
        <w:t>í</w:t>
      </w:r>
      <w:r w:rsidRPr="00D310D7">
        <w:rPr>
          <w:rFonts w:ascii="Bodoni MT" w:hAnsi="Bodoni MT"/>
          <w:sz w:val="24"/>
          <w:szCs w:val="24"/>
        </w:rPr>
        <w:t xml:space="preserve"> or</w:t>
      </w:r>
      <w:r w:rsidRPr="00D310D7">
        <w:rPr>
          <w:rFonts w:ascii="Bodoni MT" w:hAnsi="Bodoni MT" w:cs="Bodoni MT"/>
          <w:sz w:val="24"/>
          <w:szCs w:val="24"/>
        </w:rPr>
        <w:t>á</w:t>
      </w:r>
      <w:r w:rsidRPr="00D310D7">
        <w:rPr>
          <w:rFonts w:ascii="Bodoni MT" w:hAnsi="Bodoni MT"/>
          <w:sz w:val="24"/>
          <w:szCs w:val="24"/>
        </w:rPr>
        <w:t>mování</w:t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4851620A" wp14:editId="752AFA36">
            <wp:extent cx="233680" cy="223520"/>
            <wp:effectExtent l="1905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 provede orámování vnitřku a vnějšku skupiny vybraných objektů;</w:t>
      </w:r>
    </w:p>
    <w:p w14:paraId="3681A075" w14:textId="5B909D2F" w:rsidR="00D310D7" w:rsidRDefault="00D310D7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D310D7">
        <w:rPr>
          <w:rFonts w:ascii="Bodoni MT" w:hAnsi="Bodoni MT"/>
          <w:sz w:val="24"/>
          <w:szCs w:val="24"/>
        </w:rPr>
        <w:t>horizontální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3F775ED6" wp14:editId="617E18D9">
            <wp:extent cx="233680" cy="223520"/>
            <wp:effectExtent l="19050" t="0" r="0" b="0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 provede horizontální orámování vnitřku skupiny vybraných objektů;</w:t>
      </w:r>
    </w:p>
    <w:p w14:paraId="55EAF3C2" w14:textId="5F17D797" w:rsidR="00D310D7" w:rsidRDefault="00D310D7" w:rsidP="00BB2F2E">
      <w:pPr>
        <w:pStyle w:val="Odstavecseseznamem"/>
        <w:numPr>
          <w:ilvl w:val="0"/>
          <w:numId w:val="21"/>
        </w:numPr>
        <w:rPr>
          <w:sz w:val="24"/>
          <w:szCs w:val="24"/>
        </w:rPr>
      </w:pPr>
      <w:r w:rsidRPr="00D310D7">
        <w:rPr>
          <w:rFonts w:ascii="Bodoni MT" w:hAnsi="Bodoni MT"/>
          <w:sz w:val="24"/>
          <w:szCs w:val="24"/>
        </w:rPr>
        <w:t>vertikální orámování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  <w:sz w:val="24"/>
          <w:szCs w:val="24"/>
        </w:rPr>
        <w:drawing>
          <wp:inline distT="0" distB="0" distL="0" distR="0" wp14:anchorId="3367979B" wp14:editId="282FD8D2">
            <wp:extent cx="233680" cy="233680"/>
            <wp:effectExtent l="19050" t="0" r="0" b="0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kliknutím na tlačítko se provede vertikální orámování vnitřku skupiny vybraných objektů;</w:t>
      </w:r>
    </w:p>
    <w:p w14:paraId="6BE215C2" w14:textId="77777777" w:rsidR="00D310D7" w:rsidRDefault="00D310D7" w:rsidP="00D310D7">
      <w:pPr>
        <w:rPr>
          <w:sz w:val="24"/>
          <w:szCs w:val="24"/>
        </w:rPr>
      </w:pPr>
      <w:r>
        <w:rPr>
          <w:sz w:val="24"/>
          <w:szCs w:val="24"/>
        </w:rPr>
        <w:t>NO lze rozdělit do dvou sekcí</w:t>
      </w:r>
    </w:p>
    <w:p w14:paraId="54034478" w14:textId="0061EE3D" w:rsidR="00D310D7" w:rsidRPr="00025C62" w:rsidRDefault="00D310D7" w:rsidP="00F478FF">
      <w:pPr>
        <w:pStyle w:val="Odstavecseseznamem"/>
        <w:numPr>
          <w:ilvl w:val="0"/>
          <w:numId w:val="24"/>
        </w:numPr>
        <w:ind w:left="1276"/>
        <w:rPr>
          <w:sz w:val="24"/>
          <w:szCs w:val="24"/>
        </w:rPr>
      </w:pPr>
      <w:r w:rsidRPr="00025C62">
        <w:rPr>
          <w:rFonts w:ascii="Arial Narrow" w:hAnsi="Arial Narrow"/>
          <w:b/>
          <w:i/>
          <w:sz w:val="24"/>
          <w:szCs w:val="24"/>
        </w:rPr>
        <w:t>aplikační sekce</w:t>
      </w:r>
      <w:r w:rsidRPr="00025C62">
        <w:rPr>
          <w:sz w:val="24"/>
          <w:szCs w:val="24"/>
        </w:rPr>
        <w:t xml:space="preserve"> (</w:t>
      </w:r>
      <w:r w:rsidR="00025C62">
        <w:rPr>
          <w:sz w:val="24"/>
          <w:szCs w:val="24"/>
        </w:rPr>
        <w:t xml:space="preserve">dále jen </w:t>
      </w:r>
      <w:r w:rsidRPr="00025C62">
        <w:rPr>
          <w:sz w:val="24"/>
          <w:szCs w:val="24"/>
        </w:rPr>
        <w:t>AS)</w:t>
      </w:r>
      <w:r w:rsidR="00025C62" w:rsidRPr="00025C62">
        <w:rPr>
          <w:sz w:val="24"/>
          <w:szCs w:val="24"/>
        </w:rPr>
        <w:t xml:space="preserve"> - </w:t>
      </w:r>
      <w:r w:rsidRPr="00025C62">
        <w:rPr>
          <w:sz w:val="24"/>
          <w:szCs w:val="24"/>
        </w:rPr>
        <w:t>do této sekce patří nástroje rozevíracího seznamu a nestandardní tlačítka, čili</w:t>
      </w:r>
      <w:r w:rsidR="00025C62" w:rsidRPr="00025C62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474B390" wp14:editId="1C196CC3">
            <wp:extent cx="3094355" cy="233680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62" w:rsidRPr="00025C62">
        <w:rPr>
          <w:sz w:val="24"/>
          <w:szCs w:val="24"/>
        </w:rPr>
        <w:t xml:space="preserve"> </w:t>
      </w:r>
      <w:r w:rsidRPr="00025C62">
        <w:rPr>
          <w:sz w:val="24"/>
          <w:szCs w:val="24"/>
        </w:rPr>
        <w:t>a (skupinová sekce - ASSS)</w:t>
      </w:r>
      <w:r w:rsidRPr="00025C62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66E3954" wp14:editId="1D99FFBE">
            <wp:extent cx="925195" cy="233680"/>
            <wp:effectExtent l="19050" t="0" r="825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964" w:rsidRPr="00025C62">
        <w:rPr>
          <w:sz w:val="24"/>
          <w:szCs w:val="24"/>
        </w:rPr>
        <w:t>; n</w:t>
      </w:r>
      <w:r w:rsidRPr="00025C62">
        <w:rPr>
          <w:sz w:val="24"/>
          <w:szCs w:val="24"/>
        </w:rPr>
        <w:t>ástroje této sekce</w:t>
      </w:r>
      <w:r w:rsidRPr="00025C62">
        <w:rPr>
          <w:sz w:val="24"/>
          <w:szCs w:val="24"/>
        </w:rPr>
        <w:t xml:space="preserve"> </w:t>
      </w:r>
      <w:r w:rsidRPr="00025C62">
        <w:rPr>
          <w:sz w:val="24"/>
          <w:szCs w:val="24"/>
        </w:rPr>
        <w:t>ne</w:t>
      </w:r>
      <w:r w:rsidRPr="00025C62">
        <w:rPr>
          <w:sz w:val="24"/>
          <w:szCs w:val="24"/>
        </w:rPr>
        <w:t>zobrazují aktuální stav vybraných objektů a lze je použít pouze pro nastavení (</w:t>
      </w:r>
      <w:r w:rsidRPr="00025C62">
        <w:rPr>
          <w:sz w:val="24"/>
          <w:szCs w:val="24"/>
        </w:rPr>
        <w:t>aplikování</w:t>
      </w:r>
      <w:r w:rsidRPr="00025C62">
        <w:rPr>
          <w:sz w:val="24"/>
          <w:szCs w:val="24"/>
        </w:rPr>
        <w:t xml:space="preserve">) vybrané akce, přičemž hodnoty rozevíracích seznamů jsou povinné pro jakoukoliv akci, vyjma </w:t>
      </w:r>
      <w:r w:rsidRPr="00025C62">
        <w:rPr>
          <w:i/>
          <w:sz w:val="24"/>
          <w:szCs w:val="24"/>
        </w:rPr>
        <w:t>zrušit orámování</w:t>
      </w:r>
      <w:r w:rsidRPr="00025C62">
        <w:rPr>
          <w:sz w:val="24"/>
          <w:szCs w:val="24"/>
        </w:rPr>
        <w:t>;</w:t>
      </w:r>
    </w:p>
    <w:p w14:paraId="7F9CF9D7" w14:textId="47FD4817" w:rsidR="00D310D7" w:rsidRPr="00025C62" w:rsidRDefault="00D310D7" w:rsidP="009E7232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025C62">
        <w:rPr>
          <w:rFonts w:ascii="Arial Narrow" w:hAnsi="Arial Narrow"/>
          <w:b/>
          <w:i/>
          <w:sz w:val="24"/>
          <w:szCs w:val="24"/>
        </w:rPr>
        <w:lastRenderedPageBreak/>
        <w:t>interaktivní sekce</w:t>
      </w:r>
      <w:r w:rsidRPr="00025C62">
        <w:rPr>
          <w:sz w:val="24"/>
          <w:szCs w:val="24"/>
        </w:rPr>
        <w:t xml:space="preserve"> (</w:t>
      </w:r>
      <w:r w:rsidR="00025C62">
        <w:rPr>
          <w:sz w:val="24"/>
          <w:szCs w:val="24"/>
        </w:rPr>
        <w:t xml:space="preserve">dále jen </w:t>
      </w:r>
      <w:r w:rsidRPr="00025C62">
        <w:rPr>
          <w:sz w:val="24"/>
          <w:szCs w:val="24"/>
        </w:rPr>
        <w:t>IS) jednoduchých akcí (ISJA)</w:t>
      </w:r>
      <w:r w:rsidRPr="00025C62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7F4E6A7" wp14:editId="49416B36">
            <wp:extent cx="1414145" cy="233680"/>
            <wp:effectExtent l="19050" t="0" r="0" b="0"/>
            <wp:docPr id="64" name="obráze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62" w:rsidRPr="00025C62">
        <w:rPr>
          <w:sz w:val="24"/>
          <w:szCs w:val="24"/>
        </w:rPr>
        <w:t>;</w:t>
      </w:r>
      <w:r w:rsidR="00025C62">
        <w:rPr>
          <w:sz w:val="24"/>
          <w:szCs w:val="24"/>
        </w:rPr>
        <w:t xml:space="preserve"> </w:t>
      </w:r>
      <w:r w:rsidRPr="00025C62">
        <w:rPr>
          <w:sz w:val="24"/>
          <w:szCs w:val="24"/>
        </w:rPr>
        <w:t>do této sekce patří nástroje, které zobrazují stav vybraných objektů. Znázornění stavu se uskuteční změnou barvy tlačítka:</w:t>
      </w:r>
    </w:p>
    <w:p w14:paraId="0EF70DAC" w14:textId="364052B6" w:rsidR="00D310D7" w:rsidRDefault="00D310D7" w:rsidP="00D310D7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D310D7">
        <w:rPr>
          <w:i/>
          <w:sz w:val="24"/>
          <w:szCs w:val="24"/>
        </w:rPr>
        <w:t>neutrální barva</w:t>
      </w:r>
      <w:r w:rsidRPr="00D310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617A01">
        <w:rPr>
          <w:noProof/>
        </w:rPr>
        <w:drawing>
          <wp:inline distT="0" distB="0" distL="0" distR="0" wp14:anchorId="6DBAC896" wp14:editId="31AE17C2">
            <wp:extent cx="233680" cy="233680"/>
            <wp:effectExtent l="19050" t="0" r="0" b="0"/>
            <wp:docPr id="2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0D7">
        <w:rPr>
          <w:sz w:val="24"/>
          <w:szCs w:val="24"/>
        </w:rPr>
        <w:t xml:space="preserve"> – vybraný/é objekt/y nemá/jí žádnou hodnotu odpovídající vlastnosti (v daném případě levého rámečku);</w:t>
      </w:r>
    </w:p>
    <w:p w14:paraId="23B6FF31" w14:textId="423B0A36" w:rsidR="00D310D7" w:rsidRDefault="00D310D7" w:rsidP="00D310D7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D310D7">
        <w:rPr>
          <w:i/>
          <w:sz w:val="24"/>
          <w:szCs w:val="24"/>
        </w:rPr>
        <w:t>světle modrá</w:t>
      </w:r>
      <w:r w:rsidRPr="00D310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7ED22B4A" wp14:editId="5FD3B077">
            <wp:extent cx="244475" cy="233680"/>
            <wp:effectExtent l="19050" t="0" r="3175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0D7">
        <w:rPr>
          <w:sz w:val="24"/>
          <w:szCs w:val="24"/>
        </w:rPr>
        <w:t xml:space="preserve"> – vybraný/é objekt/y má/jí nenulovou </w:t>
      </w:r>
      <w:r w:rsidRPr="00D310D7">
        <w:rPr>
          <w:sz w:val="24"/>
          <w:szCs w:val="24"/>
          <w:lang w:val="en-US"/>
        </w:rPr>
        <w:t>[</w:t>
      </w:r>
      <w:r w:rsidRPr="00D310D7">
        <w:rPr>
          <w:sz w:val="24"/>
          <w:szCs w:val="24"/>
        </w:rPr>
        <w:t>pozor: neznamená, že stejnou</w:t>
      </w:r>
      <w:r w:rsidRPr="00D310D7">
        <w:rPr>
          <w:sz w:val="24"/>
          <w:szCs w:val="24"/>
          <w:lang w:val="en-US"/>
        </w:rPr>
        <w:t>]</w:t>
      </w:r>
      <w:r w:rsidRPr="00D310D7">
        <w:rPr>
          <w:sz w:val="24"/>
          <w:szCs w:val="24"/>
        </w:rPr>
        <w:t xml:space="preserve"> hodnotu odpovídající vlastnosti (v daném případě levého rámečku);</w:t>
      </w:r>
    </w:p>
    <w:p w14:paraId="686629C8" w14:textId="725EAFEF" w:rsidR="00D310D7" w:rsidRDefault="00D310D7" w:rsidP="00D310D7">
      <w:pPr>
        <w:pStyle w:val="Odstavecseseznamem"/>
        <w:numPr>
          <w:ilvl w:val="0"/>
          <w:numId w:val="26"/>
        </w:numPr>
        <w:rPr>
          <w:sz w:val="24"/>
          <w:szCs w:val="24"/>
        </w:rPr>
      </w:pPr>
      <w:r w:rsidRPr="00D310D7">
        <w:rPr>
          <w:i/>
          <w:sz w:val="24"/>
          <w:szCs w:val="24"/>
        </w:rPr>
        <w:t>indická červená</w:t>
      </w:r>
      <w:r w:rsidRPr="00D310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noProof/>
        </w:rPr>
        <w:drawing>
          <wp:inline distT="0" distB="0" distL="0" distR="0" wp14:anchorId="5725A55D" wp14:editId="5A45BC59">
            <wp:extent cx="276225" cy="233680"/>
            <wp:effectExtent l="19050" t="0" r="9525" b="0"/>
            <wp:docPr id="70" name="obráze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D310D7">
        <w:rPr>
          <w:sz w:val="24"/>
          <w:szCs w:val="24"/>
        </w:rPr>
        <w:t>– minimálně jeden z vybraných objektů má nenulovou hodnotu a minimálně jeden z vybraných objektů má nulovou hodnotu odpovídající vlastnosti (v daném případě levého rámečku);</w:t>
      </w:r>
    </w:p>
    <w:p w14:paraId="333D72BD" w14:textId="10CB5858" w:rsidR="00CC562E" w:rsidRDefault="00CC562E" w:rsidP="00CC562E">
      <w:pPr>
        <w:pStyle w:val="Nadpis1"/>
      </w:pPr>
      <w:r>
        <w:t>Postup orámování</w:t>
      </w:r>
    </w:p>
    <w:p w14:paraId="6408DDB1" w14:textId="255C6092" w:rsidR="00CC562E" w:rsidRDefault="00D8765F" w:rsidP="00CC562E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Postup provedení akce orámování:</w:t>
      </w:r>
    </w:p>
    <w:p w14:paraId="0D8A1EA0" w14:textId="60015DEF" w:rsidR="00D8765F" w:rsidRDefault="00D8765F" w:rsidP="00D8765F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D8765F">
        <w:rPr>
          <w:sz w:val="24"/>
          <w:szCs w:val="24"/>
        </w:rPr>
        <w:t>vybrat objekt/y;</w:t>
      </w:r>
    </w:p>
    <w:p w14:paraId="66A45A4A" w14:textId="4A28BED2" w:rsidR="00D8765F" w:rsidRDefault="00D8765F" w:rsidP="00D8765F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 w:rsidRPr="00D8765F">
        <w:rPr>
          <w:sz w:val="24"/>
          <w:szCs w:val="24"/>
        </w:rPr>
        <w:t>nastavit potřebnou velikost šířky budoucí vlastnosti (rozevírací seznam nastavení šířky);</w:t>
      </w:r>
    </w:p>
    <w:p w14:paraId="300D07EF" w14:textId="7EF62B78" w:rsidR="00D8765F" w:rsidRDefault="00D8765F" w:rsidP="00D8765F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nastavit potřebný styl budoucí vlastnosti (rozevírací seznam nastavení stylu);</w:t>
      </w:r>
    </w:p>
    <w:p w14:paraId="2847EE16" w14:textId="6A859084" w:rsidR="00D8765F" w:rsidRDefault="00D8765F" w:rsidP="00D8765F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nastavit potřebnou barvu budoucí vlastnosti (rozevírací seznam nastavení barvy);</w:t>
      </w:r>
    </w:p>
    <w:p w14:paraId="4D5C31F3" w14:textId="64309840" w:rsidR="00D8765F" w:rsidRPr="00D8765F" w:rsidRDefault="00D8765F" w:rsidP="00D8765F">
      <w:pPr>
        <w:pStyle w:val="Odstavecseseznamem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stisknout tlačítko odpovídající vlastnosti (viz. </w:t>
      </w:r>
      <w:hyperlink w:anchor="_Specifika_použití_nástrojů" w:history="1">
        <w:r w:rsidRPr="00A309E8">
          <w:rPr>
            <w:rStyle w:val="Hypertextovodkaz"/>
            <w:rFonts w:asciiTheme="majorHAnsi" w:eastAsiaTheme="majorEastAsia" w:hAnsiTheme="majorHAnsi" w:cstheme="majorBidi"/>
            <w:spacing w:val="15"/>
            <w:sz w:val="24"/>
            <w:szCs w:val="24"/>
          </w:rPr>
          <w:t>Specifika použití nástrojů NO</w:t>
        </w:r>
      </w:hyperlink>
      <w:r>
        <w:rPr>
          <w:sz w:val="24"/>
          <w:szCs w:val="24"/>
        </w:rPr>
        <w:t>)</w:t>
      </w:r>
    </w:p>
    <w:p w14:paraId="002B646A" w14:textId="77777777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Jestliže přeskočíme jeden z kroků 2. - 4. a odpovídající rozevírací seznam nebude obsahovat žádnou hodnotu, pak při provedení kroku 5. vyskočí jedno z dialogových oken hlášení o chybějící povinné hodnotě</w:t>
      </w:r>
    </w:p>
    <w:p w14:paraId="1BB7DDFF" w14:textId="77777777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BB7453" wp14:editId="2E6A6959">
            <wp:extent cx="3455670" cy="1637665"/>
            <wp:effectExtent l="19050" t="0" r="0" b="0"/>
            <wp:docPr id="73" name="obráze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C4EE9" w14:textId="77777777" w:rsidR="00D8765F" w:rsidRDefault="00D8765F" w:rsidP="00D8765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5842F7" wp14:editId="2C0DCA15">
            <wp:extent cx="3242945" cy="1637665"/>
            <wp:effectExtent l="19050" t="0" r="0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063C8" w14:textId="73FC2F9C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0E64FE" wp14:editId="4B452430">
            <wp:extent cx="3348990" cy="1637665"/>
            <wp:effectExtent l="19050" t="0" r="3810" b="0"/>
            <wp:docPr id="79" name="obrázek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30AE1" w14:textId="72B76BB6" w:rsidR="00D8765F" w:rsidRDefault="00D8765F" w:rsidP="00D8765F">
      <w:pPr>
        <w:pStyle w:val="Nadpis1"/>
      </w:pPr>
      <w:bookmarkStart w:id="0" w:name="_Specifika_použití_nástrojů"/>
      <w:bookmarkEnd w:id="0"/>
      <w:r>
        <w:t>Specifika použití nástrojů NO</w:t>
      </w:r>
    </w:p>
    <w:p w14:paraId="5FF60450" w14:textId="77777777" w:rsidR="00D8765F" w:rsidRDefault="00D8765F" w:rsidP="00D8765F">
      <w:pPr>
        <w:ind w:firstLine="567"/>
        <w:rPr>
          <w:sz w:val="24"/>
          <w:szCs w:val="24"/>
        </w:rPr>
      </w:pPr>
      <w:r w:rsidRPr="0096283F">
        <w:rPr>
          <w:sz w:val="24"/>
          <w:szCs w:val="24"/>
        </w:rPr>
        <w:t>Některé nástr</w:t>
      </w:r>
      <w:r>
        <w:rPr>
          <w:sz w:val="24"/>
          <w:szCs w:val="24"/>
        </w:rPr>
        <w:t xml:space="preserve">oje NO pro různé sestavy se chovají různě. Jedná se zejména o tlačítko </w:t>
      </w:r>
      <w:r w:rsidRPr="0096283F">
        <w:rPr>
          <w:i/>
          <w:sz w:val="24"/>
          <w:szCs w:val="24"/>
        </w:rPr>
        <w:t>orámovat dokola</w:t>
      </w:r>
      <w:r>
        <w:rPr>
          <w:sz w:val="24"/>
          <w:szCs w:val="24"/>
        </w:rPr>
        <w:t xml:space="preserve"> (</w:t>
      </w:r>
      <w:r w:rsidRPr="0096283F">
        <w:rPr>
          <w:noProof/>
          <w:sz w:val="24"/>
          <w:szCs w:val="24"/>
        </w:rPr>
        <w:drawing>
          <wp:inline distT="0" distB="0" distL="0" distR="0" wp14:anchorId="17D43491" wp14:editId="42F163D6">
            <wp:extent cx="233680" cy="223520"/>
            <wp:effectExtent l="19050" t="0" r="0" b="0"/>
            <wp:docPr id="3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). V sestavách formátu GRF, toto tlačítko spadá do skupiny jednoduchých akcí (ISJS), ale v sestavách formátu GRR je toto tlačítko skupinovou akcí, jeho alternativou pak je tlačítko </w:t>
      </w:r>
      <w:r w:rsidRPr="0096283F">
        <w:rPr>
          <w:i/>
          <w:sz w:val="24"/>
          <w:szCs w:val="24"/>
        </w:rPr>
        <w:t>dokola/vnitřní orámování</w:t>
      </w:r>
      <w:r>
        <w:rPr>
          <w:sz w:val="24"/>
          <w:szCs w:val="24"/>
        </w:rPr>
        <w:t xml:space="preserve"> (</w:t>
      </w:r>
      <w:r w:rsidRPr="0096283F">
        <w:rPr>
          <w:noProof/>
          <w:sz w:val="24"/>
          <w:szCs w:val="24"/>
        </w:rPr>
        <w:drawing>
          <wp:inline distT="0" distB="0" distL="0" distR="0" wp14:anchorId="418FD552" wp14:editId="45F776B1">
            <wp:extent cx="233680" cy="223520"/>
            <wp:effectExtent l="19050" t="0" r="0" b="0"/>
            <wp:docPr id="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).</w:t>
      </w:r>
    </w:p>
    <w:p w14:paraId="7B48A4A0" w14:textId="7C10492D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>Co to v praxi znamená?</w:t>
      </w:r>
    </w:p>
    <w:p w14:paraId="550F94C6" w14:textId="77777777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>Máme-li sestavu GRF a na skupinu objektů aplikujeme akci orámovat dokola, pak výsledkem bude orámování dokola každého objektu skupiny:</w:t>
      </w:r>
    </w:p>
    <w:p w14:paraId="1824C112" w14:textId="6248BB26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407C98" wp14:editId="13F89A41">
            <wp:extent cx="5135245" cy="3583305"/>
            <wp:effectExtent l="19050" t="0" r="8255" b="0"/>
            <wp:docPr id="82" name="obráze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C1574" w14:textId="4EB05859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případě </w:t>
      </w:r>
      <w:r>
        <w:rPr>
          <w:sz w:val="24"/>
          <w:szCs w:val="24"/>
        </w:rPr>
        <w:t xml:space="preserve">sestav </w:t>
      </w:r>
      <w:r>
        <w:rPr>
          <w:sz w:val="24"/>
          <w:szCs w:val="24"/>
        </w:rPr>
        <w:t xml:space="preserve">GRR </w:t>
      </w:r>
      <w:r>
        <w:rPr>
          <w:sz w:val="24"/>
          <w:szCs w:val="24"/>
        </w:rPr>
        <w:t>formátu</w:t>
      </w:r>
      <w:r>
        <w:rPr>
          <w:sz w:val="24"/>
          <w:szCs w:val="24"/>
        </w:rPr>
        <w:t xml:space="preserve"> toto neplatí.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Máme-li skupinu objektu v GRR sestavě, a aplikujeme-li na ni akci </w:t>
      </w:r>
      <w:r w:rsidRPr="0096283F">
        <w:rPr>
          <w:i/>
          <w:sz w:val="24"/>
          <w:szCs w:val="24"/>
        </w:rPr>
        <w:t>orámovat dokola</w:t>
      </w:r>
      <w:r>
        <w:rPr>
          <w:sz w:val="24"/>
          <w:szCs w:val="24"/>
        </w:rPr>
        <w:t>, pak se skupina bere jako jeden objekt, nejlépe je to vidět z obrázku:</w:t>
      </w:r>
    </w:p>
    <w:p w14:paraId="3AB9C17E" w14:textId="0340CDDD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26533A" wp14:editId="2153BDE7">
            <wp:extent cx="4838065" cy="2445385"/>
            <wp:effectExtent l="19050" t="0" r="635" b="0"/>
            <wp:docPr id="85" name="obráze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8EB72" w14:textId="7EAA015C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03214E" wp14:editId="222182FB">
            <wp:extent cx="4901565" cy="2392045"/>
            <wp:effectExtent l="19050" t="0" r="0" b="0"/>
            <wp:docPr id="88" name="obráze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CE4DD" w14:textId="77777777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Proto, pokud objekty skupiny nejsou vedle sebe, může nastat, že aplikace při aplikaci této funkci nedostane očekávaného efektu:</w:t>
      </w:r>
    </w:p>
    <w:p w14:paraId="7AAAA242" w14:textId="10306C2B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B271E2" wp14:editId="54C7B0C9">
            <wp:extent cx="4923155" cy="1658620"/>
            <wp:effectExtent l="19050" t="0" r="0" b="0"/>
            <wp:docPr id="91" name="obrázek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02A4E" w14:textId="4E482567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FADBF" wp14:editId="7A493D3E">
            <wp:extent cx="4890770" cy="1647825"/>
            <wp:effectExtent l="19050" t="0" r="5080" b="0"/>
            <wp:docPr id="94" name="obrázek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F70F4" w14:textId="36C38481" w:rsid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Potřebuje-li uživatel v takovémto případě (výběr více objektů, které nejsou vedle sebe) orámovat objekty dokola, musí použít funkci </w:t>
      </w:r>
      <w:r w:rsidRPr="0096283F">
        <w:rPr>
          <w:i/>
          <w:sz w:val="24"/>
          <w:szCs w:val="24"/>
        </w:rPr>
        <w:t>dokola/vnitřní orámování</w:t>
      </w:r>
      <w:r>
        <w:rPr>
          <w:sz w:val="24"/>
          <w:szCs w:val="24"/>
        </w:rPr>
        <w:t xml:space="preserve"> (</w:t>
      </w:r>
      <w:r w:rsidRPr="0096283F">
        <w:rPr>
          <w:noProof/>
          <w:sz w:val="24"/>
          <w:szCs w:val="24"/>
        </w:rPr>
        <w:drawing>
          <wp:inline distT="0" distB="0" distL="0" distR="0" wp14:anchorId="05BF0BDA" wp14:editId="0D366C83">
            <wp:extent cx="233680" cy="223520"/>
            <wp:effectExtent l="19050" t="0" r="0" b="0"/>
            <wp:docPr id="6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):</w:t>
      </w:r>
    </w:p>
    <w:p w14:paraId="33C117F2" w14:textId="3866C1B1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9217D23" wp14:editId="74CA9FBF">
            <wp:extent cx="5390515" cy="1797050"/>
            <wp:effectExtent l="19050" t="0" r="635" b="0"/>
            <wp:docPr id="97" name="obráze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F6224" w14:textId="01947E43" w:rsidR="00D8765F" w:rsidRDefault="00D8765F" w:rsidP="00D876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BC865D" wp14:editId="337B7634">
            <wp:extent cx="5347970" cy="1786255"/>
            <wp:effectExtent l="19050" t="0" r="5080" b="0"/>
            <wp:docPr id="100" name="obrázek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CF45D" w14:textId="0BAF32B8" w:rsidR="00D8765F" w:rsidRPr="00D8765F" w:rsidRDefault="00D8765F" w:rsidP="00D8765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Každá akce ISJA  + </w:t>
      </w:r>
      <w:r w:rsidRPr="004172CE">
        <w:rPr>
          <w:noProof/>
          <w:sz w:val="24"/>
          <w:szCs w:val="24"/>
        </w:rPr>
        <w:drawing>
          <wp:inline distT="0" distB="0" distL="0" distR="0" wp14:anchorId="490DEB98" wp14:editId="3613F951">
            <wp:extent cx="233680" cy="223520"/>
            <wp:effectExtent l="19050" t="0" r="0" b="0"/>
            <wp:docPr id="17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má i možnost opačného efektu. O této skutečnosti uživatele upozorní - nápověda nad tlačítkem příslušné akce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639C30F" wp14:editId="40FCD983">
            <wp:extent cx="2924175" cy="733425"/>
            <wp:effectExtent l="19050" t="0" r="9525" b="0"/>
            <wp:docPr id="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To znamená, že výsledek kombinace CTRL +</w:t>
      </w:r>
      <w:r w:rsidRPr="007A5E93">
        <w:rPr>
          <w:noProof/>
          <w:sz w:val="24"/>
          <w:szCs w:val="24"/>
        </w:rPr>
        <w:drawing>
          <wp:inline distT="0" distB="0" distL="0" distR="0" wp14:anchorId="5B397377" wp14:editId="460F8607">
            <wp:extent cx="233680" cy="233680"/>
            <wp:effectExtent l="19050" t="0" r="0" b="0"/>
            <wp:docPr id="20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je stejný jako </w:t>
      </w:r>
      <w:r w:rsidRPr="004172CE">
        <w:rPr>
          <w:noProof/>
          <w:sz w:val="24"/>
          <w:szCs w:val="24"/>
        </w:rPr>
        <w:drawing>
          <wp:inline distT="0" distB="0" distL="0" distR="0" wp14:anchorId="5C95A6AA" wp14:editId="7427A5B7">
            <wp:extent cx="233680" cy="223520"/>
            <wp:effectExtent l="19050" t="0" r="0" b="0"/>
            <wp:docPr id="11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(resp. </w:t>
      </w:r>
      <w:r w:rsidRPr="004172CE">
        <w:rPr>
          <w:noProof/>
          <w:sz w:val="24"/>
          <w:szCs w:val="24"/>
        </w:rPr>
        <w:drawing>
          <wp:inline distT="0" distB="0" distL="0" distR="0" wp14:anchorId="300D5524" wp14:editId="0A882311">
            <wp:extent cx="233680" cy="223520"/>
            <wp:effectExtent l="19050" t="0" r="0" b="0"/>
            <wp:docPr id="12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 závislosti na počtu vybraných objektů). A naopak: výsledek CTRL + </w:t>
      </w:r>
      <w:r w:rsidRPr="004172CE">
        <w:rPr>
          <w:noProof/>
          <w:sz w:val="24"/>
          <w:szCs w:val="24"/>
        </w:rPr>
        <w:drawing>
          <wp:inline distT="0" distB="0" distL="0" distR="0" wp14:anchorId="23B6069D" wp14:editId="19287ACC">
            <wp:extent cx="233680" cy="223520"/>
            <wp:effectExtent l="19050" t="0" r="0" b="0"/>
            <wp:docPr id="14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(resp. </w:t>
      </w:r>
      <w:r w:rsidRPr="004172CE">
        <w:rPr>
          <w:noProof/>
          <w:sz w:val="24"/>
          <w:szCs w:val="24"/>
        </w:rPr>
        <w:drawing>
          <wp:inline distT="0" distB="0" distL="0" distR="0" wp14:anchorId="40FB9BB5" wp14:editId="0F91400E">
            <wp:extent cx="233680" cy="223520"/>
            <wp:effectExtent l="19050" t="0" r="0" b="0"/>
            <wp:docPr id="18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 závislosti na počtu vybraných objektů) je stejný jako výsledek </w:t>
      </w:r>
      <w:r w:rsidRPr="004172CE">
        <w:rPr>
          <w:noProof/>
          <w:sz w:val="24"/>
          <w:szCs w:val="24"/>
        </w:rPr>
        <w:drawing>
          <wp:inline distT="0" distB="0" distL="0" distR="0" wp14:anchorId="52530FA2" wp14:editId="578B9CAE">
            <wp:extent cx="201930" cy="212725"/>
            <wp:effectExtent l="19050" t="0" r="7620" b="0"/>
            <wp:docPr id="1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  <w:bookmarkStart w:id="1" w:name="_GoBack"/>
      <w:bookmarkEnd w:id="1"/>
    </w:p>
    <w:sectPr w:rsidR="00D8765F" w:rsidRPr="00D8765F" w:rsidSect="000874D6">
      <w:headerReference w:type="default" r:id="rId4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9A6C3" w14:textId="77777777" w:rsidR="00461923" w:rsidRDefault="00461923" w:rsidP="005F4499">
      <w:pPr>
        <w:spacing w:after="0" w:line="240" w:lineRule="auto"/>
      </w:pPr>
      <w:r>
        <w:separator/>
      </w:r>
    </w:p>
  </w:endnote>
  <w:endnote w:type="continuationSeparator" w:id="0">
    <w:p w14:paraId="26F83824" w14:textId="77777777" w:rsidR="00461923" w:rsidRDefault="00461923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FF8B2" w14:textId="77777777" w:rsidR="00461923" w:rsidRDefault="00461923" w:rsidP="005F4499">
      <w:pPr>
        <w:spacing w:after="0" w:line="240" w:lineRule="auto"/>
      </w:pPr>
      <w:r>
        <w:separator/>
      </w:r>
    </w:p>
  </w:footnote>
  <w:footnote w:type="continuationSeparator" w:id="0">
    <w:p w14:paraId="2259633A" w14:textId="77777777" w:rsidR="00461923" w:rsidRDefault="00461923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28172" w14:textId="380A67D5" w:rsidR="003147DA" w:rsidRDefault="00BB2F2E" w:rsidP="005F4499">
    <w:pPr>
      <w:pStyle w:val="Nzev"/>
    </w:pPr>
    <w:r>
      <w:t>Orámování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473"/>
    <w:multiLevelType w:val="hybridMultilevel"/>
    <w:tmpl w:val="C3E6C1A4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D966AE"/>
    <w:multiLevelType w:val="multilevel"/>
    <w:tmpl w:val="976808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944415"/>
    <w:multiLevelType w:val="hybridMultilevel"/>
    <w:tmpl w:val="1A3CBAC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FB3B10"/>
    <w:multiLevelType w:val="hybridMultilevel"/>
    <w:tmpl w:val="274016B8"/>
    <w:lvl w:ilvl="0" w:tplc="0405000F">
      <w:start w:val="1"/>
      <w:numFmt w:val="decimal"/>
      <w:lvlText w:val="%1."/>
      <w:lvlJc w:val="left"/>
      <w:pPr>
        <w:ind w:left="2007" w:hanging="360"/>
      </w:pPr>
    </w:lvl>
    <w:lvl w:ilvl="1" w:tplc="04050019" w:tentative="1">
      <w:start w:val="1"/>
      <w:numFmt w:val="lowerLetter"/>
      <w:lvlText w:val="%2."/>
      <w:lvlJc w:val="left"/>
      <w:pPr>
        <w:ind w:left="2727" w:hanging="360"/>
      </w:pPr>
    </w:lvl>
    <w:lvl w:ilvl="2" w:tplc="0405001B" w:tentative="1">
      <w:start w:val="1"/>
      <w:numFmt w:val="lowerRoman"/>
      <w:lvlText w:val="%3."/>
      <w:lvlJc w:val="right"/>
      <w:pPr>
        <w:ind w:left="3447" w:hanging="180"/>
      </w:pPr>
    </w:lvl>
    <w:lvl w:ilvl="3" w:tplc="0405000F" w:tentative="1">
      <w:start w:val="1"/>
      <w:numFmt w:val="decimal"/>
      <w:lvlText w:val="%4."/>
      <w:lvlJc w:val="left"/>
      <w:pPr>
        <w:ind w:left="4167" w:hanging="360"/>
      </w:pPr>
    </w:lvl>
    <w:lvl w:ilvl="4" w:tplc="04050019" w:tentative="1">
      <w:start w:val="1"/>
      <w:numFmt w:val="lowerLetter"/>
      <w:lvlText w:val="%5."/>
      <w:lvlJc w:val="left"/>
      <w:pPr>
        <w:ind w:left="4887" w:hanging="360"/>
      </w:pPr>
    </w:lvl>
    <w:lvl w:ilvl="5" w:tplc="0405001B" w:tentative="1">
      <w:start w:val="1"/>
      <w:numFmt w:val="lowerRoman"/>
      <w:lvlText w:val="%6."/>
      <w:lvlJc w:val="right"/>
      <w:pPr>
        <w:ind w:left="5607" w:hanging="180"/>
      </w:pPr>
    </w:lvl>
    <w:lvl w:ilvl="6" w:tplc="0405000F" w:tentative="1">
      <w:start w:val="1"/>
      <w:numFmt w:val="decimal"/>
      <w:lvlText w:val="%7."/>
      <w:lvlJc w:val="left"/>
      <w:pPr>
        <w:ind w:left="6327" w:hanging="360"/>
      </w:pPr>
    </w:lvl>
    <w:lvl w:ilvl="7" w:tplc="04050019" w:tentative="1">
      <w:start w:val="1"/>
      <w:numFmt w:val="lowerLetter"/>
      <w:lvlText w:val="%8."/>
      <w:lvlJc w:val="left"/>
      <w:pPr>
        <w:ind w:left="7047" w:hanging="360"/>
      </w:pPr>
    </w:lvl>
    <w:lvl w:ilvl="8" w:tplc="040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BF43AF"/>
    <w:multiLevelType w:val="hybridMultilevel"/>
    <w:tmpl w:val="9258A05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B051F6"/>
    <w:multiLevelType w:val="hybridMultilevel"/>
    <w:tmpl w:val="49B0394C"/>
    <w:lvl w:ilvl="0" w:tplc="9CC6E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D4743E"/>
    <w:multiLevelType w:val="hybridMultilevel"/>
    <w:tmpl w:val="5BA414D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A8726C9"/>
    <w:multiLevelType w:val="hybridMultilevel"/>
    <w:tmpl w:val="6914B21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A219F8"/>
    <w:multiLevelType w:val="hybridMultilevel"/>
    <w:tmpl w:val="DE24C45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52B78"/>
    <w:multiLevelType w:val="hybridMultilevel"/>
    <w:tmpl w:val="8ECEEB5A"/>
    <w:lvl w:ilvl="0" w:tplc="0405000F">
      <w:start w:val="1"/>
      <w:numFmt w:val="decimal"/>
      <w:lvlText w:val="%1."/>
      <w:lvlJc w:val="left"/>
      <w:pPr>
        <w:ind w:left="2007" w:hanging="360"/>
      </w:pPr>
    </w:lvl>
    <w:lvl w:ilvl="1" w:tplc="04050019" w:tentative="1">
      <w:start w:val="1"/>
      <w:numFmt w:val="lowerLetter"/>
      <w:lvlText w:val="%2."/>
      <w:lvlJc w:val="left"/>
      <w:pPr>
        <w:ind w:left="2727" w:hanging="360"/>
      </w:pPr>
    </w:lvl>
    <w:lvl w:ilvl="2" w:tplc="0405001B" w:tentative="1">
      <w:start w:val="1"/>
      <w:numFmt w:val="lowerRoman"/>
      <w:lvlText w:val="%3."/>
      <w:lvlJc w:val="right"/>
      <w:pPr>
        <w:ind w:left="3447" w:hanging="180"/>
      </w:pPr>
    </w:lvl>
    <w:lvl w:ilvl="3" w:tplc="0405000F" w:tentative="1">
      <w:start w:val="1"/>
      <w:numFmt w:val="decimal"/>
      <w:lvlText w:val="%4."/>
      <w:lvlJc w:val="left"/>
      <w:pPr>
        <w:ind w:left="4167" w:hanging="360"/>
      </w:pPr>
    </w:lvl>
    <w:lvl w:ilvl="4" w:tplc="04050019" w:tentative="1">
      <w:start w:val="1"/>
      <w:numFmt w:val="lowerLetter"/>
      <w:lvlText w:val="%5."/>
      <w:lvlJc w:val="left"/>
      <w:pPr>
        <w:ind w:left="4887" w:hanging="360"/>
      </w:pPr>
    </w:lvl>
    <w:lvl w:ilvl="5" w:tplc="0405001B" w:tentative="1">
      <w:start w:val="1"/>
      <w:numFmt w:val="lowerRoman"/>
      <w:lvlText w:val="%6."/>
      <w:lvlJc w:val="right"/>
      <w:pPr>
        <w:ind w:left="5607" w:hanging="180"/>
      </w:pPr>
    </w:lvl>
    <w:lvl w:ilvl="6" w:tplc="0405000F" w:tentative="1">
      <w:start w:val="1"/>
      <w:numFmt w:val="decimal"/>
      <w:lvlText w:val="%7."/>
      <w:lvlJc w:val="left"/>
      <w:pPr>
        <w:ind w:left="6327" w:hanging="360"/>
      </w:pPr>
    </w:lvl>
    <w:lvl w:ilvl="7" w:tplc="04050019" w:tentative="1">
      <w:start w:val="1"/>
      <w:numFmt w:val="lowerLetter"/>
      <w:lvlText w:val="%8."/>
      <w:lvlJc w:val="left"/>
      <w:pPr>
        <w:ind w:left="7047" w:hanging="360"/>
      </w:pPr>
    </w:lvl>
    <w:lvl w:ilvl="8" w:tplc="040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>
    <w:nsid w:val="336200AB"/>
    <w:multiLevelType w:val="hybridMultilevel"/>
    <w:tmpl w:val="C49E666E"/>
    <w:lvl w:ilvl="0" w:tplc="2524613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F50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D5F2824"/>
    <w:multiLevelType w:val="hybridMultilevel"/>
    <w:tmpl w:val="B0ECE8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F6F2D"/>
    <w:multiLevelType w:val="hybridMultilevel"/>
    <w:tmpl w:val="F7F4D7D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>
    <w:nsid w:val="486C1989"/>
    <w:multiLevelType w:val="hybridMultilevel"/>
    <w:tmpl w:val="83E0A9C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8EA0CF8"/>
    <w:multiLevelType w:val="hybridMultilevel"/>
    <w:tmpl w:val="5080CC3C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554D3BF9"/>
    <w:multiLevelType w:val="hybridMultilevel"/>
    <w:tmpl w:val="2EB8C714"/>
    <w:lvl w:ilvl="0" w:tplc="CD443780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7FE010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D206618"/>
    <w:multiLevelType w:val="hybridMultilevel"/>
    <w:tmpl w:val="FD3C8670"/>
    <w:lvl w:ilvl="0" w:tplc="9F6690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238A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A1D2A4F"/>
    <w:multiLevelType w:val="hybridMultilevel"/>
    <w:tmpl w:val="8214A9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4C1C0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7ED33F75"/>
    <w:multiLevelType w:val="hybridMultilevel"/>
    <w:tmpl w:val="56B82792"/>
    <w:lvl w:ilvl="0" w:tplc="325AFA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FEB394F"/>
    <w:multiLevelType w:val="hybridMultilevel"/>
    <w:tmpl w:val="7298CD72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4"/>
  </w:num>
  <w:num w:numId="5">
    <w:abstractNumId w:val="27"/>
  </w:num>
  <w:num w:numId="6">
    <w:abstractNumId w:val="21"/>
  </w:num>
  <w:num w:numId="7">
    <w:abstractNumId w:val="6"/>
  </w:num>
  <w:num w:numId="8">
    <w:abstractNumId w:val="2"/>
  </w:num>
  <w:num w:numId="9">
    <w:abstractNumId w:val="8"/>
  </w:num>
  <w:num w:numId="10">
    <w:abstractNumId w:val="13"/>
  </w:num>
  <w:num w:numId="11">
    <w:abstractNumId w:val="26"/>
  </w:num>
  <w:num w:numId="12">
    <w:abstractNumId w:val="24"/>
  </w:num>
  <w:num w:numId="13">
    <w:abstractNumId w:val="22"/>
  </w:num>
  <w:num w:numId="14">
    <w:abstractNumId w:val="15"/>
  </w:num>
  <w:num w:numId="15">
    <w:abstractNumId w:val="28"/>
  </w:num>
  <w:num w:numId="16">
    <w:abstractNumId w:val="5"/>
  </w:num>
  <w:num w:numId="17">
    <w:abstractNumId w:val="1"/>
  </w:num>
  <w:num w:numId="18">
    <w:abstractNumId w:val="29"/>
  </w:num>
  <w:num w:numId="19">
    <w:abstractNumId w:val="20"/>
  </w:num>
  <w:num w:numId="20">
    <w:abstractNumId w:val="9"/>
  </w:num>
  <w:num w:numId="21">
    <w:abstractNumId w:val="19"/>
  </w:num>
  <w:num w:numId="22">
    <w:abstractNumId w:val="23"/>
  </w:num>
  <w:num w:numId="23">
    <w:abstractNumId w:val="7"/>
  </w:num>
  <w:num w:numId="24">
    <w:abstractNumId w:val="17"/>
  </w:num>
  <w:num w:numId="25">
    <w:abstractNumId w:val="12"/>
  </w:num>
  <w:num w:numId="26">
    <w:abstractNumId w:val="3"/>
  </w:num>
  <w:num w:numId="27">
    <w:abstractNumId w:val="16"/>
  </w:num>
  <w:num w:numId="28">
    <w:abstractNumId w:val="10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23B"/>
    <w:rsid w:val="00002455"/>
    <w:rsid w:val="00003651"/>
    <w:rsid w:val="00004B32"/>
    <w:rsid w:val="00025C62"/>
    <w:rsid w:val="000261DA"/>
    <w:rsid w:val="00057C9D"/>
    <w:rsid w:val="00075C83"/>
    <w:rsid w:val="000831A2"/>
    <w:rsid w:val="000874D6"/>
    <w:rsid w:val="000A0552"/>
    <w:rsid w:val="000A4186"/>
    <w:rsid w:val="000D1D59"/>
    <w:rsid w:val="000E2756"/>
    <w:rsid w:val="000E2A14"/>
    <w:rsid w:val="000E667D"/>
    <w:rsid w:val="000F5582"/>
    <w:rsid w:val="000F5C41"/>
    <w:rsid w:val="00101B89"/>
    <w:rsid w:val="00112A7A"/>
    <w:rsid w:val="00117BD4"/>
    <w:rsid w:val="00124547"/>
    <w:rsid w:val="00127E20"/>
    <w:rsid w:val="0014355F"/>
    <w:rsid w:val="001513DB"/>
    <w:rsid w:val="001528CC"/>
    <w:rsid w:val="00183B4F"/>
    <w:rsid w:val="00194551"/>
    <w:rsid w:val="001A1469"/>
    <w:rsid w:val="001A2BE3"/>
    <w:rsid w:val="001A5E55"/>
    <w:rsid w:val="001C2D68"/>
    <w:rsid w:val="001C7312"/>
    <w:rsid w:val="001E308B"/>
    <w:rsid w:val="001F5A14"/>
    <w:rsid w:val="00203003"/>
    <w:rsid w:val="00204E10"/>
    <w:rsid w:val="002308E8"/>
    <w:rsid w:val="00234665"/>
    <w:rsid w:val="0024062F"/>
    <w:rsid w:val="00250050"/>
    <w:rsid w:val="0027125F"/>
    <w:rsid w:val="0028028C"/>
    <w:rsid w:val="00284E47"/>
    <w:rsid w:val="002853A3"/>
    <w:rsid w:val="002A7226"/>
    <w:rsid w:val="002B105A"/>
    <w:rsid w:val="002C397F"/>
    <w:rsid w:val="002D3312"/>
    <w:rsid w:val="003033A6"/>
    <w:rsid w:val="003069F0"/>
    <w:rsid w:val="00310D10"/>
    <w:rsid w:val="003111BE"/>
    <w:rsid w:val="003147DA"/>
    <w:rsid w:val="00343DFE"/>
    <w:rsid w:val="00344D6E"/>
    <w:rsid w:val="00352B01"/>
    <w:rsid w:val="00373224"/>
    <w:rsid w:val="00384A9E"/>
    <w:rsid w:val="0038537F"/>
    <w:rsid w:val="003923F7"/>
    <w:rsid w:val="003B3623"/>
    <w:rsid w:val="003C0E44"/>
    <w:rsid w:val="003C56EB"/>
    <w:rsid w:val="003D3E9A"/>
    <w:rsid w:val="003E3141"/>
    <w:rsid w:val="003E4B14"/>
    <w:rsid w:val="003F1DBD"/>
    <w:rsid w:val="00402EC5"/>
    <w:rsid w:val="00407315"/>
    <w:rsid w:val="00447F32"/>
    <w:rsid w:val="0045039F"/>
    <w:rsid w:val="004605AA"/>
    <w:rsid w:val="00461923"/>
    <w:rsid w:val="00464194"/>
    <w:rsid w:val="00465694"/>
    <w:rsid w:val="0046569F"/>
    <w:rsid w:val="004701A5"/>
    <w:rsid w:val="00472F86"/>
    <w:rsid w:val="00482701"/>
    <w:rsid w:val="00485CDA"/>
    <w:rsid w:val="00486183"/>
    <w:rsid w:val="00497039"/>
    <w:rsid w:val="004A6677"/>
    <w:rsid w:val="004B5BEC"/>
    <w:rsid w:val="004B7FCF"/>
    <w:rsid w:val="004E0C1B"/>
    <w:rsid w:val="005016E4"/>
    <w:rsid w:val="0050713E"/>
    <w:rsid w:val="00513129"/>
    <w:rsid w:val="005224C6"/>
    <w:rsid w:val="00551472"/>
    <w:rsid w:val="00551A8C"/>
    <w:rsid w:val="005766C3"/>
    <w:rsid w:val="005910C5"/>
    <w:rsid w:val="005A1ED6"/>
    <w:rsid w:val="005D5F94"/>
    <w:rsid w:val="005F4499"/>
    <w:rsid w:val="0061337D"/>
    <w:rsid w:val="006137F1"/>
    <w:rsid w:val="00631CE4"/>
    <w:rsid w:val="0065350A"/>
    <w:rsid w:val="0065642F"/>
    <w:rsid w:val="00663FAA"/>
    <w:rsid w:val="00665433"/>
    <w:rsid w:val="006713B0"/>
    <w:rsid w:val="00684C53"/>
    <w:rsid w:val="00694939"/>
    <w:rsid w:val="00695E44"/>
    <w:rsid w:val="006A081C"/>
    <w:rsid w:val="006A72D8"/>
    <w:rsid w:val="006C11FB"/>
    <w:rsid w:val="006C1D07"/>
    <w:rsid w:val="006C6703"/>
    <w:rsid w:val="006D42F8"/>
    <w:rsid w:val="006E11A1"/>
    <w:rsid w:val="006F1221"/>
    <w:rsid w:val="006F2109"/>
    <w:rsid w:val="007027E8"/>
    <w:rsid w:val="00717627"/>
    <w:rsid w:val="00725B27"/>
    <w:rsid w:val="0073058C"/>
    <w:rsid w:val="007412A4"/>
    <w:rsid w:val="00742194"/>
    <w:rsid w:val="0075186E"/>
    <w:rsid w:val="007674E2"/>
    <w:rsid w:val="00780785"/>
    <w:rsid w:val="00781490"/>
    <w:rsid w:val="007A0F74"/>
    <w:rsid w:val="007D30F8"/>
    <w:rsid w:val="00812186"/>
    <w:rsid w:val="00827817"/>
    <w:rsid w:val="00850F35"/>
    <w:rsid w:val="008573F5"/>
    <w:rsid w:val="00860F63"/>
    <w:rsid w:val="00874025"/>
    <w:rsid w:val="00890764"/>
    <w:rsid w:val="008A1D5B"/>
    <w:rsid w:val="008D0678"/>
    <w:rsid w:val="008D6553"/>
    <w:rsid w:val="008F5417"/>
    <w:rsid w:val="00901900"/>
    <w:rsid w:val="009050A7"/>
    <w:rsid w:val="0091732B"/>
    <w:rsid w:val="00923342"/>
    <w:rsid w:val="00924B06"/>
    <w:rsid w:val="00924C98"/>
    <w:rsid w:val="0093509C"/>
    <w:rsid w:val="00953E26"/>
    <w:rsid w:val="00975BCE"/>
    <w:rsid w:val="00976235"/>
    <w:rsid w:val="009A1714"/>
    <w:rsid w:val="009C1B20"/>
    <w:rsid w:val="009C296F"/>
    <w:rsid w:val="009C382A"/>
    <w:rsid w:val="009E67C9"/>
    <w:rsid w:val="00A00654"/>
    <w:rsid w:val="00A12A52"/>
    <w:rsid w:val="00A367B3"/>
    <w:rsid w:val="00A405C2"/>
    <w:rsid w:val="00A62868"/>
    <w:rsid w:val="00AA3CB1"/>
    <w:rsid w:val="00AA5035"/>
    <w:rsid w:val="00AB0C3F"/>
    <w:rsid w:val="00AD1920"/>
    <w:rsid w:val="00AE3964"/>
    <w:rsid w:val="00AE7B25"/>
    <w:rsid w:val="00AF2782"/>
    <w:rsid w:val="00B0659B"/>
    <w:rsid w:val="00B15B0E"/>
    <w:rsid w:val="00B21724"/>
    <w:rsid w:val="00B21DA0"/>
    <w:rsid w:val="00B5133A"/>
    <w:rsid w:val="00B540D4"/>
    <w:rsid w:val="00B55428"/>
    <w:rsid w:val="00B60FA8"/>
    <w:rsid w:val="00B65E1E"/>
    <w:rsid w:val="00B66D68"/>
    <w:rsid w:val="00B6796C"/>
    <w:rsid w:val="00BB2F2E"/>
    <w:rsid w:val="00BC2E32"/>
    <w:rsid w:val="00BD4979"/>
    <w:rsid w:val="00C044B7"/>
    <w:rsid w:val="00C06BAF"/>
    <w:rsid w:val="00C06C35"/>
    <w:rsid w:val="00C3058E"/>
    <w:rsid w:val="00C321C4"/>
    <w:rsid w:val="00C36168"/>
    <w:rsid w:val="00C431D0"/>
    <w:rsid w:val="00C61684"/>
    <w:rsid w:val="00C616FE"/>
    <w:rsid w:val="00C67494"/>
    <w:rsid w:val="00C83EFA"/>
    <w:rsid w:val="00C8757D"/>
    <w:rsid w:val="00C9158C"/>
    <w:rsid w:val="00C92F85"/>
    <w:rsid w:val="00CA39A4"/>
    <w:rsid w:val="00CB0175"/>
    <w:rsid w:val="00CB5C77"/>
    <w:rsid w:val="00CC0316"/>
    <w:rsid w:val="00CC562E"/>
    <w:rsid w:val="00CE4A4A"/>
    <w:rsid w:val="00CE5F2C"/>
    <w:rsid w:val="00CF2F1B"/>
    <w:rsid w:val="00D310D7"/>
    <w:rsid w:val="00D31B66"/>
    <w:rsid w:val="00D33A91"/>
    <w:rsid w:val="00D4056F"/>
    <w:rsid w:val="00D43477"/>
    <w:rsid w:val="00D52522"/>
    <w:rsid w:val="00D57852"/>
    <w:rsid w:val="00D67797"/>
    <w:rsid w:val="00D81864"/>
    <w:rsid w:val="00D8765F"/>
    <w:rsid w:val="00D87CA7"/>
    <w:rsid w:val="00DE1124"/>
    <w:rsid w:val="00DF06CC"/>
    <w:rsid w:val="00E0085D"/>
    <w:rsid w:val="00E23C86"/>
    <w:rsid w:val="00E25580"/>
    <w:rsid w:val="00E2708D"/>
    <w:rsid w:val="00E36466"/>
    <w:rsid w:val="00E4014B"/>
    <w:rsid w:val="00E4354A"/>
    <w:rsid w:val="00E5591C"/>
    <w:rsid w:val="00E627E2"/>
    <w:rsid w:val="00E82B52"/>
    <w:rsid w:val="00EA423B"/>
    <w:rsid w:val="00EB0D84"/>
    <w:rsid w:val="00EB19AF"/>
    <w:rsid w:val="00EC5E7B"/>
    <w:rsid w:val="00EE2876"/>
    <w:rsid w:val="00EE29AE"/>
    <w:rsid w:val="00EE53D5"/>
    <w:rsid w:val="00F041CF"/>
    <w:rsid w:val="00F047C8"/>
    <w:rsid w:val="00F0556C"/>
    <w:rsid w:val="00F21368"/>
    <w:rsid w:val="00F22884"/>
    <w:rsid w:val="00F6076B"/>
    <w:rsid w:val="00F63546"/>
    <w:rsid w:val="00F64855"/>
    <w:rsid w:val="00F6495E"/>
    <w:rsid w:val="00F7503D"/>
    <w:rsid w:val="00F96BC0"/>
    <w:rsid w:val="00FA58E5"/>
    <w:rsid w:val="00FC75CE"/>
    <w:rsid w:val="00FE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144"/>
  <w15:docId w15:val="{169F96AF-703C-4596-B3F8-733F2A4B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funkcionality orámování</Popis>
    <_DCDateCreated xmlns="http://schemas.microsoft.com/sharepoint/v3/fields">2014-04-15T10:10:00+00:00</_DCDateCreated>
    <Stav xmlns="f402e9c2-abd1-484c-8afb-4056922aef03">verze</Stav>
  </documentManagement>
</p:properties>
</file>

<file path=customXml/itemProps1.xml><?xml version="1.0" encoding="utf-8"?>
<ds:datastoreItem xmlns:ds="http://schemas.openxmlformats.org/officeDocument/2006/customXml" ds:itemID="{2054116E-4735-4DD6-9733-3675EB67369D}"/>
</file>

<file path=customXml/itemProps2.xml><?xml version="1.0" encoding="utf-8"?>
<ds:datastoreItem xmlns:ds="http://schemas.openxmlformats.org/officeDocument/2006/customXml" ds:itemID="{518CEB20-A8CF-4F00-9066-84E1DDC2BD5A}"/>
</file>

<file path=customXml/itemProps3.xml><?xml version="1.0" encoding="utf-8"?>
<ds:datastoreItem xmlns:ds="http://schemas.openxmlformats.org/officeDocument/2006/customXml" ds:itemID="{FB021D47-A534-42D2-8BDD-5DF3102426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7</Pages>
  <Words>789</Words>
  <Characters>4679</Characters>
  <Application>Microsoft Office Word</Application>
  <DocSecurity>0</DocSecurity>
  <Lines>103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MSE editor</vt:lpstr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orámování</dc:title>
  <dc:creator>Stepan Sukovyč</dc:creator>
  <cp:keywords>orámování</cp:keywords>
  <cp:lastModifiedBy>Stepan Sukovyč</cp:lastModifiedBy>
  <cp:revision>123</cp:revision>
  <dcterms:created xsi:type="dcterms:W3CDTF">2014-03-25T08:17:00Z</dcterms:created>
  <dcterms:modified xsi:type="dcterms:W3CDTF">2014-04-15T10:09:00Z</dcterms:modified>
  <cp:category>grafický formát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